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4AB" w:rsidRPr="008718FB" w:rsidRDefault="00EB54AB" w:rsidP="00EB54AB">
      <w:pPr>
        <w:ind w:left="5529" w:firstLine="5244"/>
        <w:jc w:val="center"/>
        <w:rPr>
          <w:bCs/>
        </w:rPr>
      </w:pPr>
      <w:bookmarkStart w:id="0" w:name="part_3d002f34ccb645cfb2957ac8c92cb377"/>
      <w:bookmarkEnd w:id="0"/>
      <w:r w:rsidRPr="008718FB">
        <w:rPr>
          <w:bCs/>
        </w:rPr>
        <w:t>2</w:t>
      </w:r>
      <w:r>
        <w:rPr>
          <w:bCs/>
        </w:rPr>
        <w:t>2021</w:t>
      </w:r>
      <w:r w:rsidRPr="008718FB">
        <w:rPr>
          <w:bCs/>
        </w:rPr>
        <w:t xml:space="preserve"> m.                              d.</w:t>
      </w:r>
    </w:p>
    <w:p w:rsidR="00EB54AB" w:rsidRPr="008718FB" w:rsidRDefault="00EB54AB" w:rsidP="00EB54AB">
      <w:pPr>
        <w:ind w:left="6096" w:right="-143"/>
        <w:contextualSpacing/>
        <w:jc w:val="right"/>
        <w:rPr>
          <w:bCs/>
        </w:rPr>
      </w:pPr>
      <w:r w:rsidRPr="008718FB">
        <w:rPr>
          <w:bCs/>
        </w:rPr>
        <w:t xml:space="preserve">paslaugų viešojo pirkimo–pardavimo </w:t>
      </w:r>
    </w:p>
    <w:p w:rsidR="00EB54AB" w:rsidRPr="008718FB" w:rsidRDefault="00EB54AB" w:rsidP="00EB54AB">
      <w:pPr>
        <w:pStyle w:val="Antrat1"/>
        <w:tabs>
          <w:tab w:val="left" w:pos="9630"/>
        </w:tabs>
        <w:spacing w:line="276" w:lineRule="auto"/>
        <w:ind w:right="8" w:firstLine="3969"/>
        <w:jc w:val="center"/>
        <w:rPr>
          <w:b w:val="0"/>
        </w:rPr>
      </w:pPr>
      <w:r w:rsidRPr="008718FB">
        <w:rPr>
          <w:b w:val="0"/>
        </w:rPr>
        <w:t xml:space="preserve">sutarties Nr.  </w:t>
      </w:r>
    </w:p>
    <w:p w:rsidR="00EB54AB" w:rsidRPr="008718FB" w:rsidRDefault="00EB54AB" w:rsidP="00EB54AB">
      <w:pPr>
        <w:pStyle w:val="Antrat1"/>
        <w:tabs>
          <w:tab w:val="left" w:pos="9630"/>
        </w:tabs>
        <w:spacing w:line="276" w:lineRule="auto"/>
        <w:ind w:right="8" w:firstLine="3686"/>
        <w:jc w:val="center"/>
        <w:rPr>
          <w:b w:val="0"/>
        </w:rPr>
      </w:pPr>
      <w:r w:rsidRPr="008718FB">
        <w:rPr>
          <w:b w:val="0"/>
        </w:rPr>
        <w:t>1 priedas</w:t>
      </w:r>
    </w:p>
    <w:p w:rsidR="00EB54AB" w:rsidRDefault="00EB54AB" w:rsidP="00EB54AB">
      <w:pPr>
        <w:spacing w:after="120"/>
        <w:jc w:val="center"/>
        <w:rPr>
          <w:b/>
        </w:rPr>
      </w:pPr>
    </w:p>
    <w:p w:rsidR="00EB54AB" w:rsidRDefault="00EB54AB" w:rsidP="00EB54AB">
      <w:pPr>
        <w:spacing w:after="120"/>
        <w:jc w:val="center"/>
        <w:rPr>
          <w:b/>
        </w:rPr>
      </w:pPr>
      <w:r>
        <w:rPr>
          <w:b/>
        </w:rPr>
        <w:t>TECHNINĖ SPECIFIKACIJA</w:t>
      </w:r>
    </w:p>
    <w:p w:rsidR="00EB54AB" w:rsidRDefault="00EB54AB" w:rsidP="00EB54AB">
      <w:pPr>
        <w:suppressAutoHyphens w:val="0"/>
        <w:spacing w:after="160" w:line="276" w:lineRule="auto"/>
        <w:contextualSpacing/>
        <w:jc w:val="center"/>
        <w:textAlignment w:val="auto"/>
        <w:rPr>
          <w:rFonts w:eastAsiaTheme="minorEastAsia"/>
          <w:b/>
          <w:kern w:val="0"/>
          <w:lang w:val="en-US" w:eastAsia="en-US" w:bidi="ar-SA"/>
        </w:rPr>
      </w:pPr>
    </w:p>
    <w:p w:rsidR="00EB54AB" w:rsidRDefault="00EB54AB" w:rsidP="00EB54AB">
      <w:pPr>
        <w:numPr>
          <w:ilvl w:val="0"/>
          <w:numId w:val="2"/>
        </w:numPr>
        <w:suppressAutoHyphens w:val="0"/>
        <w:spacing w:after="160" w:line="276" w:lineRule="auto"/>
        <w:contextualSpacing/>
        <w:jc w:val="center"/>
        <w:textAlignment w:val="auto"/>
        <w:rPr>
          <w:rFonts w:eastAsiaTheme="minorEastAsia"/>
          <w:b/>
          <w:kern w:val="0"/>
          <w:lang w:val="en-US" w:eastAsia="en-US" w:bidi="ar-SA"/>
        </w:rPr>
      </w:pPr>
      <w:r>
        <w:rPr>
          <w:rFonts w:eastAsiaTheme="minorEastAsia"/>
          <w:b/>
          <w:kern w:val="0"/>
          <w:lang w:val="en-US" w:eastAsia="en-US" w:bidi="ar-SA"/>
        </w:rPr>
        <w:t>BENDRA INFORMACIJA</w:t>
      </w:r>
    </w:p>
    <w:p w:rsidR="00EB54AB" w:rsidRDefault="00EB54AB" w:rsidP="00EB54AB">
      <w:pPr>
        <w:suppressAutoHyphens w:val="0"/>
        <w:ind w:firstLine="709"/>
        <w:contextualSpacing/>
        <w:jc w:val="both"/>
        <w:textAlignment w:val="auto"/>
        <w:rPr>
          <w:rFonts w:eastAsiaTheme="minorEastAsia"/>
          <w:b/>
          <w:kern w:val="0"/>
          <w:lang w:eastAsia="en-US" w:bidi="ar-SA"/>
        </w:rPr>
      </w:pPr>
    </w:p>
    <w:p w:rsidR="00EB54AB" w:rsidRPr="001E40FE" w:rsidRDefault="00EB54AB" w:rsidP="00EB54AB">
      <w:pPr>
        <w:suppressAutoHyphens w:val="0"/>
        <w:ind w:left="709"/>
        <w:jc w:val="both"/>
        <w:textAlignment w:val="auto"/>
        <w:rPr>
          <w:rFonts w:eastAsia="Calibri"/>
          <w:b/>
          <w:bCs/>
          <w:kern w:val="0"/>
          <w:lang w:eastAsia="en-US" w:bidi="ar-SA"/>
        </w:rPr>
      </w:pPr>
      <w:bookmarkStart w:id="1" w:name="_Toc326962883"/>
      <w:bookmarkStart w:id="2" w:name="_Toc302993286"/>
      <w:bookmarkStart w:id="3" w:name="_Toc300843740"/>
      <w:bookmarkStart w:id="4" w:name="_Toc326962884"/>
      <w:bookmarkStart w:id="5" w:name="_Toc302993287"/>
      <w:bookmarkStart w:id="6" w:name="_Toc300843741"/>
      <w:bookmarkEnd w:id="1"/>
      <w:bookmarkEnd w:id="2"/>
      <w:bookmarkEnd w:id="3"/>
      <w:r>
        <w:rPr>
          <w:rFonts w:eastAsia="Calibri"/>
          <w:b/>
          <w:bCs/>
          <w:kern w:val="0"/>
          <w:lang w:eastAsia="en-US" w:bidi="ar-SA"/>
        </w:rPr>
        <w:t xml:space="preserve">1.1. </w:t>
      </w:r>
      <w:r w:rsidRPr="001E40FE">
        <w:rPr>
          <w:rFonts w:eastAsia="Calibri"/>
          <w:b/>
          <w:bCs/>
          <w:kern w:val="0"/>
          <w:lang w:eastAsia="en-US" w:bidi="ar-SA"/>
        </w:rPr>
        <w:t>Techninėje specifikacijoje naudojamos sąvokos</w:t>
      </w:r>
      <w:bookmarkEnd w:id="4"/>
      <w:bookmarkEnd w:id="5"/>
      <w:bookmarkEnd w:id="6"/>
    </w:p>
    <w:p w:rsidR="00EB54AB" w:rsidRDefault="00EB54AB" w:rsidP="00EB54AB">
      <w:pPr>
        <w:pStyle w:val="Sraopastraipa"/>
        <w:suppressAutoHyphens w:val="0"/>
        <w:ind w:left="1129"/>
        <w:jc w:val="both"/>
        <w:textAlignment w:val="auto"/>
        <w:rPr>
          <w:rFonts w:eastAsia="Calibri"/>
          <w:b/>
          <w:bCs/>
          <w:kern w:val="0"/>
          <w:lang w:eastAsia="en-US" w:bidi="ar-SA"/>
        </w:rPr>
      </w:pPr>
    </w:p>
    <w:tbl>
      <w:tblPr>
        <w:tblW w:w="9526" w:type="dxa"/>
        <w:tblInd w:w="108" w:type="dxa"/>
        <w:tblLook w:val="04A0" w:firstRow="1" w:lastRow="0" w:firstColumn="1" w:lastColumn="0" w:noHBand="0" w:noVBand="1"/>
      </w:tblPr>
      <w:tblGrid>
        <w:gridCol w:w="2268"/>
        <w:gridCol w:w="7258"/>
      </w:tblGrid>
      <w:tr w:rsidR="00EB54AB" w:rsidTr="0033464C">
        <w:trPr>
          <w:trHeight w:val="413"/>
          <w:tblHeader/>
        </w:trPr>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after="160" w:line="252" w:lineRule="auto"/>
              <w:jc w:val="both"/>
              <w:textAlignment w:val="auto"/>
              <w:rPr>
                <w:b/>
                <w:bCs/>
                <w:kern w:val="0"/>
                <w:lang w:eastAsia="lt-LT" w:bidi="ar-SA"/>
              </w:rPr>
            </w:pPr>
            <w:r>
              <w:rPr>
                <w:b/>
                <w:bCs/>
                <w:kern w:val="0"/>
                <w:lang w:eastAsia="lt-LT" w:bidi="ar-SA"/>
              </w:rPr>
              <w:t>Sąvoka / sutrumpinimas</w:t>
            </w:r>
          </w:p>
        </w:tc>
        <w:tc>
          <w:tcPr>
            <w:tcW w:w="7258" w:type="dxa"/>
            <w:tcBorders>
              <w:top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after="160" w:line="252" w:lineRule="auto"/>
              <w:jc w:val="both"/>
              <w:textAlignment w:val="auto"/>
              <w:rPr>
                <w:b/>
                <w:bCs/>
                <w:kern w:val="0"/>
                <w:lang w:eastAsia="lt-LT" w:bidi="ar-SA"/>
              </w:rPr>
            </w:pPr>
            <w:r>
              <w:rPr>
                <w:b/>
                <w:bCs/>
                <w:kern w:val="0"/>
                <w:lang w:eastAsia="lt-LT" w:bidi="ar-SA"/>
              </w:rPr>
              <w:t>Paaiškinimas</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AN</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Administracinis nusižengimas</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 xml:space="preserve">ANK </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Administracinių nusižengimų kodeksas</w:t>
            </w:r>
          </w:p>
        </w:tc>
      </w:tr>
      <w:tr w:rsidR="00EB54AB" w:rsidTr="0033464C">
        <w:trPr>
          <w:trHeight w:val="191"/>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ANR arba Registras</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Administracinių nusižengimų registras</w:t>
            </w:r>
          </w:p>
        </w:tc>
      </w:tr>
      <w:tr w:rsidR="00EB54AB" w:rsidTr="0033464C">
        <w:trPr>
          <w:trHeight w:val="191"/>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DPKS</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Daugiafunkcinė pažeidimų kontrolės sistema</w:t>
            </w:r>
          </w:p>
        </w:tc>
      </w:tr>
      <w:tr w:rsidR="00EB54AB" w:rsidTr="0033464C">
        <w:trPr>
          <w:trHeight w:val="191"/>
        </w:trPr>
        <w:tc>
          <w:tcPr>
            <w:tcW w:w="2268" w:type="dxa"/>
            <w:tcBorders>
              <w:left w:val="single" w:sz="4" w:space="0" w:color="000000"/>
              <w:bottom w:val="single" w:sz="4" w:space="0" w:color="000000"/>
              <w:right w:val="single" w:sz="4" w:space="0" w:color="000000"/>
            </w:tcBorders>
            <w:shd w:val="clear" w:color="auto" w:fill="auto"/>
            <w:vAlign w:val="center"/>
          </w:tcPr>
          <w:p w:rsidR="00EB54AB" w:rsidRPr="001E40FE" w:rsidRDefault="00EB54AB" w:rsidP="0033464C">
            <w:pPr>
              <w:suppressAutoHyphens w:val="0"/>
              <w:spacing w:line="252" w:lineRule="auto"/>
              <w:jc w:val="both"/>
              <w:textAlignment w:val="auto"/>
              <w:rPr>
                <w:color w:val="000000"/>
                <w:kern w:val="0"/>
                <w:lang w:eastAsia="lt-LT" w:bidi="ar-SA"/>
              </w:rPr>
            </w:pPr>
            <w:r w:rsidRPr="001E40FE">
              <w:rPr>
                <w:color w:val="000000"/>
                <w:kern w:val="0"/>
                <w:lang w:eastAsia="lt-LT" w:bidi="ar-SA"/>
              </w:rPr>
              <w:t>DRAUD</w:t>
            </w:r>
          </w:p>
        </w:tc>
        <w:tc>
          <w:tcPr>
            <w:tcW w:w="7258" w:type="dxa"/>
            <w:tcBorders>
              <w:bottom w:val="single" w:sz="4" w:space="0" w:color="000000"/>
              <w:right w:val="single" w:sz="4" w:space="0" w:color="000000"/>
            </w:tcBorders>
            <w:shd w:val="clear" w:color="auto" w:fill="auto"/>
            <w:vAlign w:val="center"/>
          </w:tcPr>
          <w:p w:rsidR="00EB54AB" w:rsidRPr="001E40FE" w:rsidRDefault="00EB54AB" w:rsidP="0033464C">
            <w:pPr>
              <w:suppressAutoHyphens w:val="0"/>
              <w:spacing w:line="252" w:lineRule="auto"/>
              <w:jc w:val="both"/>
              <w:textAlignment w:val="auto"/>
              <w:rPr>
                <w:color w:val="000000"/>
                <w:kern w:val="0"/>
                <w:lang w:eastAsia="lt-LT" w:bidi="ar-SA"/>
              </w:rPr>
            </w:pPr>
            <w:r w:rsidRPr="001E40FE">
              <w:rPr>
                <w:color w:val="000000"/>
                <w:kern w:val="0"/>
                <w:lang w:eastAsia="lt-LT" w:bidi="ar-SA"/>
              </w:rPr>
              <w:t>Lietuvos Respublikos draudimo priežiūros komisijos duomenų bazė</w:t>
            </w:r>
          </w:p>
        </w:tc>
      </w:tr>
      <w:tr w:rsidR="00EB54AB" w:rsidTr="0033464C">
        <w:trPr>
          <w:trHeight w:val="323"/>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EUCARIS</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t>Europos automobilių ir vairuotojų pažymėjimų informacinė sistema</w:t>
            </w:r>
          </w:p>
        </w:tc>
      </w:tr>
      <w:tr w:rsidR="00EB54AB" w:rsidTr="0033464C">
        <w:trPr>
          <w:trHeight w:val="403"/>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IRD</w:t>
            </w:r>
          </w:p>
        </w:tc>
        <w:tc>
          <w:tcPr>
            <w:tcW w:w="7258" w:type="dxa"/>
            <w:tcBorders>
              <w:bottom w:val="single" w:sz="4" w:space="0" w:color="000000"/>
              <w:right w:val="single" w:sz="4" w:space="0" w:color="000000"/>
            </w:tcBorders>
            <w:shd w:val="clear" w:color="auto" w:fill="auto"/>
            <w:vAlign w:val="center"/>
          </w:tcPr>
          <w:p w:rsidR="00EB54AB" w:rsidRDefault="00EB54AB" w:rsidP="0033464C">
            <w:pPr>
              <w:spacing w:line="252" w:lineRule="auto"/>
              <w:jc w:val="both"/>
              <w:textAlignment w:val="auto"/>
              <w:rPr>
                <w:color w:val="000000"/>
                <w:kern w:val="0"/>
                <w:lang w:eastAsia="lt-LT" w:bidi="ar-SA"/>
              </w:rPr>
            </w:pPr>
            <w:r>
              <w:rPr>
                <w:color w:val="000000"/>
                <w:kern w:val="0"/>
                <w:lang w:eastAsia="lt-LT" w:bidi="ar-SA"/>
              </w:rPr>
              <w:t>Informatikos ir ryšių departamentas prie Lietuvos Respublikos vidaus reikalų ministerijos</w:t>
            </w:r>
          </w:p>
        </w:tc>
      </w:tr>
      <w:tr w:rsidR="00EB54AB" w:rsidTr="0033464C">
        <w:trPr>
          <w:trHeight w:val="403"/>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ITPR</w:t>
            </w:r>
          </w:p>
        </w:tc>
        <w:tc>
          <w:tcPr>
            <w:tcW w:w="7258" w:type="dxa"/>
            <w:tcBorders>
              <w:bottom w:val="single" w:sz="4" w:space="0" w:color="000000"/>
              <w:right w:val="single" w:sz="4" w:space="0" w:color="000000"/>
            </w:tcBorders>
            <w:shd w:val="clear" w:color="auto" w:fill="auto"/>
            <w:vAlign w:val="center"/>
          </w:tcPr>
          <w:p w:rsidR="00EB54AB" w:rsidRDefault="00EB54AB" w:rsidP="0033464C">
            <w:pPr>
              <w:spacing w:line="252" w:lineRule="auto"/>
              <w:jc w:val="both"/>
              <w:textAlignment w:val="auto"/>
              <w:rPr>
                <w:color w:val="000000"/>
                <w:kern w:val="0"/>
                <w:lang w:eastAsia="lt-LT" w:bidi="ar-SA"/>
              </w:rPr>
            </w:pPr>
            <w:r>
              <w:rPr>
                <w:color w:val="000000"/>
                <w:kern w:val="0"/>
                <w:lang w:eastAsia="lt-LT" w:bidi="ar-SA"/>
              </w:rPr>
              <w:t>Ieškomų transporto priemonių registras</w:t>
            </w:r>
          </w:p>
        </w:tc>
      </w:tr>
      <w:tr w:rsidR="00EB54AB" w:rsidTr="0033464C">
        <w:trPr>
          <w:trHeight w:val="277"/>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JAR</w:t>
            </w:r>
          </w:p>
        </w:tc>
        <w:tc>
          <w:tcPr>
            <w:tcW w:w="7258" w:type="dxa"/>
            <w:tcBorders>
              <w:bottom w:val="single" w:sz="4" w:space="0" w:color="000000"/>
              <w:right w:val="single" w:sz="4" w:space="0" w:color="000000"/>
            </w:tcBorders>
            <w:shd w:val="clear" w:color="auto" w:fill="auto"/>
            <w:vAlign w:val="center"/>
          </w:tcPr>
          <w:p w:rsidR="00EB54AB" w:rsidRDefault="00EB54AB" w:rsidP="0033464C">
            <w:pPr>
              <w:spacing w:line="252" w:lineRule="auto"/>
              <w:jc w:val="both"/>
              <w:textAlignment w:val="auto"/>
              <w:rPr>
                <w:color w:val="000000"/>
                <w:kern w:val="0"/>
                <w:lang w:eastAsia="lt-LT" w:bidi="ar-SA"/>
              </w:rPr>
            </w:pPr>
            <w:r>
              <w:rPr>
                <w:color w:val="000000"/>
                <w:kern w:val="0"/>
                <w:lang w:eastAsia="lt-LT" w:bidi="ar-SA"/>
              </w:rPr>
              <w:t>Juridinių asmenų registras</w:t>
            </w:r>
          </w:p>
        </w:tc>
      </w:tr>
      <w:tr w:rsidR="00EB54AB" w:rsidTr="0033464C">
        <w:trPr>
          <w:trHeight w:val="277"/>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KET</w:t>
            </w:r>
          </w:p>
        </w:tc>
        <w:tc>
          <w:tcPr>
            <w:tcW w:w="7258" w:type="dxa"/>
            <w:tcBorders>
              <w:bottom w:val="single" w:sz="4" w:space="0" w:color="000000"/>
              <w:right w:val="single" w:sz="4" w:space="0" w:color="000000"/>
            </w:tcBorders>
            <w:shd w:val="clear" w:color="auto" w:fill="auto"/>
            <w:vAlign w:val="center"/>
          </w:tcPr>
          <w:p w:rsidR="00EB54AB" w:rsidRDefault="00EB54AB" w:rsidP="0033464C">
            <w:pPr>
              <w:spacing w:line="252" w:lineRule="auto"/>
              <w:jc w:val="both"/>
              <w:textAlignment w:val="auto"/>
              <w:rPr>
                <w:color w:val="000000"/>
                <w:kern w:val="0"/>
                <w:lang w:eastAsia="lt-LT" w:bidi="ar-SA"/>
              </w:rPr>
            </w:pPr>
            <w:r>
              <w:rPr>
                <w:color w:val="000000"/>
                <w:kern w:val="0"/>
                <w:lang w:eastAsia="lt-LT" w:bidi="ar-SA"/>
              </w:rPr>
              <w:t>Kelių eismo taisyklės</w:t>
            </w:r>
          </w:p>
        </w:tc>
      </w:tr>
      <w:tr w:rsidR="00EB54AB" w:rsidTr="0033464C">
        <w:trPr>
          <w:trHeight w:val="277"/>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KTPR</w:t>
            </w:r>
          </w:p>
        </w:tc>
        <w:tc>
          <w:tcPr>
            <w:tcW w:w="7258" w:type="dxa"/>
            <w:tcBorders>
              <w:bottom w:val="single" w:sz="4" w:space="0" w:color="000000"/>
              <w:right w:val="single" w:sz="4" w:space="0" w:color="000000"/>
            </w:tcBorders>
            <w:shd w:val="clear" w:color="auto" w:fill="auto"/>
            <w:vAlign w:val="center"/>
          </w:tcPr>
          <w:p w:rsidR="00EB54AB" w:rsidRDefault="00EB54AB" w:rsidP="0033464C">
            <w:pPr>
              <w:spacing w:line="252" w:lineRule="auto"/>
              <w:jc w:val="both"/>
              <w:textAlignment w:val="auto"/>
              <w:rPr>
                <w:color w:val="000000"/>
                <w:kern w:val="0"/>
                <w:lang w:eastAsia="lt-LT" w:bidi="ar-SA"/>
              </w:rPr>
            </w:pPr>
            <w:r>
              <w:rPr>
                <w:color w:val="000000"/>
                <w:kern w:val="0"/>
                <w:lang w:eastAsia="lt-LT" w:bidi="ar-SA"/>
              </w:rPr>
              <w:t>Lietuvos Respublikos kelių transporto priemonių registras</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KTPVR</w:t>
            </w:r>
          </w:p>
        </w:tc>
        <w:tc>
          <w:tcPr>
            <w:tcW w:w="7258" w:type="dxa"/>
            <w:tcBorders>
              <w:bottom w:val="single" w:sz="4" w:space="0" w:color="000000"/>
              <w:right w:val="single" w:sz="4" w:space="0" w:color="000000"/>
            </w:tcBorders>
            <w:shd w:val="clear" w:color="auto" w:fill="auto"/>
            <w:vAlign w:val="center"/>
          </w:tcPr>
          <w:p w:rsidR="00EB54AB" w:rsidRDefault="00EB54AB" w:rsidP="0033464C">
            <w:pPr>
              <w:spacing w:line="252" w:lineRule="auto"/>
              <w:jc w:val="both"/>
              <w:textAlignment w:val="auto"/>
              <w:rPr>
                <w:color w:val="000000"/>
                <w:kern w:val="0"/>
                <w:lang w:eastAsia="lt-LT" w:bidi="ar-SA"/>
              </w:rPr>
            </w:pPr>
            <w:r>
              <w:rPr>
                <w:color w:val="000000"/>
                <w:kern w:val="0"/>
                <w:lang w:eastAsia="lt-LT" w:bidi="ar-SA"/>
              </w:rPr>
              <w:t>Lietuvos Respublikos kelių transporto priemonių vairuotojų registras</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rFonts w:eastAsia="SimSun"/>
                <w:color w:val="000000"/>
                <w:kern w:val="0"/>
                <w:lang w:eastAsia="lt-LT" w:bidi="ar-SA"/>
              </w:rPr>
              <w:t>MAIS</w:t>
            </w:r>
          </w:p>
        </w:tc>
        <w:tc>
          <w:tcPr>
            <w:tcW w:w="7258" w:type="dxa"/>
            <w:tcBorders>
              <w:bottom w:val="single" w:sz="4" w:space="0" w:color="000000"/>
              <w:right w:val="single" w:sz="4" w:space="0" w:color="000000"/>
            </w:tcBorders>
            <w:shd w:val="clear" w:color="auto" w:fill="auto"/>
            <w:vAlign w:val="center"/>
          </w:tcPr>
          <w:p w:rsidR="00EB54AB" w:rsidRDefault="00EB54AB" w:rsidP="0033464C">
            <w:pPr>
              <w:spacing w:line="252" w:lineRule="auto"/>
              <w:jc w:val="both"/>
              <w:textAlignment w:val="auto"/>
              <w:rPr>
                <w:color w:val="000000"/>
                <w:kern w:val="0"/>
                <w:lang w:eastAsia="lt-LT" w:bidi="ar-SA"/>
              </w:rPr>
            </w:pPr>
            <w:r>
              <w:rPr>
                <w:color w:val="000000"/>
                <w:kern w:val="0"/>
                <w:lang w:eastAsia="lt-LT" w:bidi="ar-SA"/>
              </w:rPr>
              <w:t>Mokesčių apskaitos informacinė sistema</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rFonts w:eastAsia="SimSun"/>
                <w:color w:val="000000"/>
                <w:kern w:val="0"/>
                <w:lang w:eastAsia="lt-LT" w:bidi="ar-SA"/>
              </w:rPr>
            </w:pPr>
            <w:r>
              <w:rPr>
                <w:rFonts w:eastAsia="SimSun"/>
                <w:color w:val="000000"/>
                <w:kern w:val="0"/>
                <w:lang w:eastAsia="lt-LT" w:bidi="ar-SA"/>
              </w:rPr>
              <w:t>MMR</w:t>
            </w:r>
          </w:p>
        </w:tc>
        <w:tc>
          <w:tcPr>
            <w:tcW w:w="7258" w:type="dxa"/>
            <w:tcBorders>
              <w:bottom w:val="single" w:sz="4" w:space="0" w:color="000000"/>
              <w:right w:val="single" w:sz="4" w:space="0" w:color="000000"/>
            </w:tcBorders>
            <w:shd w:val="clear" w:color="auto" w:fill="auto"/>
            <w:vAlign w:val="center"/>
          </w:tcPr>
          <w:p w:rsidR="00EB54AB" w:rsidRDefault="00EB54AB" w:rsidP="0033464C">
            <w:pPr>
              <w:spacing w:line="252" w:lineRule="auto"/>
              <w:jc w:val="both"/>
              <w:textAlignment w:val="auto"/>
              <w:rPr>
                <w:color w:val="000000"/>
                <w:kern w:val="0"/>
                <w:lang w:eastAsia="lt-LT" w:bidi="ar-SA"/>
              </w:rPr>
            </w:pPr>
            <w:r>
              <w:rPr>
                <w:color w:val="000000"/>
                <w:kern w:val="0"/>
                <w:lang w:eastAsia="lt-LT" w:bidi="ar-SA"/>
              </w:rPr>
              <w:t>Mokesčių mokėtojų registras</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rFonts w:eastAsia="SimSun"/>
                <w:color w:val="000000"/>
                <w:kern w:val="0"/>
                <w:lang w:eastAsia="lt-LT" w:bidi="ar-SA"/>
              </w:rPr>
            </w:pPr>
            <w:r>
              <w:rPr>
                <w:rFonts w:eastAsia="SimSun"/>
                <w:color w:val="000000"/>
                <w:kern w:val="0"/>
                <w:lang w:eastAsia="lt-LT" w:bidi="ar-SA"/>
              </w:rPr>
              <w:t>GR</w:t>
            </w:r>
          </w:p>
        </w:tc>
        <w:tc>
          <w:tcPr>
            <w:tcW w:w="7258" w:type="dxa"/>
            <w:tcBorders>
              <w:bottom w:val="single" w:sz="4" w:space="0" w:color="000000"/>
              <w:right w:val="single" w:sz="4" w:space="0" w:color="000000"/>
            </w:tcBorders>
            <w:shd w:val="clear" w:color="auto" w:fill="auto"/>
            <w:vAlign w:val="center"/>
          </w:tcPr>
          <w:p w:rsidR="00EB54AB" w:rsidRDefault="00EB54AB" w:rsidP="0033464C">
            <w:pPr>
              <w:spacing w:line="252" w:lineRule="auto"/>
              <w:jc w:val="both"/>
              <w:textAlignment w:val="auto"/>
              <w:rPr>
                <w:color w:val="000000"/>
                <w:kern w:val="0"/>
                <w:lang w:eastAsia="lt-LT" w:bidi="ar-SA"/>
              </w:rPr>
            </w:pPr>
            <w:r>
              <w:rPr>
                <w:color w:val="000000"/>
                <w:kern w:val="0"/>
                <w:lang w:eastAsia="lt-LT" w:bidi="ar-SA"/>
              </w:rPr>
              <w:t>Lietuvos Respublikos gyventojų registras</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rFonts w:eastAsia="SimSun"/>
                <w:color w:val="000000"/>
                <w:kern w:val="0"/>
                <w:lang w:eastAsia="lt-LT" w:bidi="ar-SA"/>
              </w:rPr>
            </w:pPr>
            <w:r>
              <w:rPr>
                <w:rFonts w:eastAsia="SimSun"/>
                <w:color w:val="000000"/>
                <w:kern w:val="0"/>
                <w:lang w:eastAsia="lt-LT" w:bidi="ar-SA"/>
              </w:rPr>
              <w:t>IAR</w:t>
            </w:r>
          </w:p>
        </w:tc>
        <w:tc>
          <w:tcPr>
            <w:tcW w:w="7258" w:type="dxa"/>
            <w:tcBorders>
              <w:bottom w:val="single" w:sz="4" w:space="0" w:color="000000"/>
              <w:right w:val="single" w:sz="4" w:space="0" w:color="000000"/>
            </w:tcBorders>
            <w:shd w:val="clear" w:color="auto" w:fill="auto"/>
            <w:vAlign w:val="center"/>
          </w:tcPr>
          <w:p w:rsidR="00EB54AB" w:rsidRDefault="00EB54AB" w:rsidP="0033464C">
            <w:pPr>
              <w:spacing w:line="252" w:lineRule="auto"/>
              <w:jc w:val="both"/>
              <w:textAlignment w:val="auto"/>
              <w:rPr>
                <w:color w:val="000000"/>
                <w:kern w:val="0"/>
                <w:lang w:eastAsia="lt-LT" w:bidi="ar-SA"/>
              </w:rPr>
            </w:pPr>
            <w:r>
              <w:rPr>
                <w:color w:val="000000"/>
                <w:kern w:val="0"/>
                <w:lang w:eastAsia="lt-LT" w:bidi="ar-SA"/>
              </w:rPr>
              <w:t>Ieškomų asmenų, neatpažintų lavonų ir nežinomų bejėgių asmenų registras</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rFonts w:eastAsia="SimSun"/>
                <w:color w:val="000000"/>
                <w:kern w:val="0"/>
                <w:lang w:eastAsia="lt-LT" w:bidi="ar-SA"/>
              </w:rPr>
            </w:pPr>
            <w:r>
              <w:rPr>
                <w:rFonts w:eastAsia="SimSun"/>
                <w:color w:val="000000"/>
                <w:kern w:val="0"/>
                <w:lang w:eastAsia="lt-LT" w:bidi="ar-SA"/>
              </w:rPr>
              <w:t>N.SIS</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Lietuvos nacionalinė antrosios kartos Šengeno informacinė sistema</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rFonts w:eastAsia="SimSun"/>
                <w:color w:val="000000"/>
                <w:kern w:val="0"/>
                <w:lang w:eastAsia="lt-LT" w:bidi="ar-SA"/>
              </w:rPr>
            </w:pPr>
            <w:r>
              <w:rPr>
                <w:rFonts w:eastAsia="SimSun"/>
                <w:color w:val="000000"/>
                <w:kern w:val="0"/>
                <w:lang w:eastAsia="lt-LT" w:bidi="ar-SA"/>
              </w:rPr>
              <w:t>PFS</w:t>
            </w:r>
          </w:p>
        </w:tc>
        <w:tc>
          <w:tcPr>
            <w:tcW w:w="7258" w:type="dxa"/>
            <w:tcBorders>
              <w:bottom w:val="single" w:sz="4" w:space="0" w:color="000000"/>
              <w:right w:val="single" w:sz="4" w:space="0" w:color="000000"/>
            </w:tcBorders>
            <w:shd w:val="clear" w:color="auto" w:fill="auto"/>
            <w:vAlign w:val="center"/>
          </w:tcPr>
          <w:p w:rsidR="00EB54AB" w:rsidRDefault="00EB54AB" w:rsidP="0033464C">
            <w:pPr>
              <w:spacing w:line="252" w:lineRule="auto"/>
              <w:jc w:val="both"/>
              <w:textAlignment w:val="auto"/>
              <w:rPr>
                <w:color w:val="000000"/>
                <w:kern w:val="0"/>
                <w:lang w:eastAsia="lt-LT" w:bidi="ar-SA"/>
              </w:rPr>
            </w:pPr>
            <w:r>
              <w:rPr>
                <w:rFonts w:eastAsia="SimSun"/>
                <w:color w:val="00000A"/>
                <w:kern w:val="0"/>
                <w:lang w:eastAsia="zh-CN"/>
              </w:rPr>
              <w:t>Pažeidimų fiksavimo sistemos (Daugiafunkcinė pažeidimų kontrolės sistema, Vidutinio greičio matavimo sistema, iš savivaldybės biudžeto išlaikoma ir eksploatuojama stacionari ar mobili teisės pažeidimo fiksavimo sistema ar kitas pažeidimų fiksavimo įrenginys, gebantis automatiniu būdu perduoti duomenis į ANR)</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SVN</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rFonts w:eastAsiaTheme="minorEastAsia"/>
                <w:kern w:val="0"/>
                <w:lang w:eastAsia="en-US" w:bidi="ar-SA"/>
              </w:rPr>
              <w:t>IRD pateikta programų išeities tekstų versijų kontrolės sistemos aplinka</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ROIK</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rFonts w:eastAsiaTheme="minorEastAsia"/>
                <w:kern w:val="0"/>
                <w:lang w:eastAsia="en-US" w:bidi="ar-SA"/>
              </w:rPr>
            </w:pPr>
            <w:r>
              <w:rPr>
                <w:rFonts w:eastAsiaTheme="minorEastAsia"/>
                <w:kern w:val="0"/>
                <w:lang w:eastAsia="en-US" w:bidi="ar-SA"/>
              </w:rPr>
              <w:t>Administracinių nusižengimų registro objekto identifikacinis kodas</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PĮ</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Programinė įranga</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TP</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Transporto priemonė</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TPSAIS</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t>Transporto priemonių savininkų apskaitos informacinė sistema</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VGMS</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Vidutinio greičio matavimo sistema</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VMI</w:t>
            </w:r>
          </w:p>
        </w:tc>
        <w:tc>
          <w:tcPr>
            <w:tcW w:w="7258" w:type="dxa"/>
            <w:tcBorders>
              <w:bottom w:val="single" w:sz="4" w:space="0" w:color="000000"/>
              <w:right w:val="single" w:sz="4" w:space="0" w:color="000000"/>
            </w:tcBorders>
            <w:shd w:val="clear" w:color="auto" w:fill="auto"/>
            <w:vAlign w:val="center"/>
          </w:tcPr>
          <w:p w:rsidR="00EB54AB" w:rsidRDefault="00EB54AB" w:rsidP="0033464C">
            <w:pPr>
              <w:spacing w:line="252" w:lineRule="auto"/>
              <w:jc w:val="both"/>
              <w:textAlignment w:val="auto"/>
              <w:rPr>
                <w:color w:val="000000"/>
                <w:kern w:val="0"/>
                <w:lang w:eastAsia="lt-LT" w:bidi="ar-SA"/>
              </w:rPr>
            </w:pPr>
            <w:r>
              <w:rPr>
                <w:color w:val="000000"/>
                <w:kern w:val="0"/>
                <w:lang w:eastAsia="lt-LT" w:bidi="ar-SA"/>
              </w:rPr>
              <w:t>Valstybinė mokesčių inspekcija prie Lietuvos Respublikos finansų ministerijos</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lastRenderedPageBreak/>
              <w:t>VSAT</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Valstybinės sienos apsaugos tarnyba prie Lietuvos Respublikos vidaus reikalų ministerijos</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VSATIS</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Valstybinės sienos apsaugos tarnybos informacinė sistema</w:t>
            </w:r>
          </w:p>
        </w:tc>
      </w:tr>
      <w:tr w:rsidR="00EB54AB" w:rsidTr="0033464C">
        <w:trPr>
          <w:trHeight w:val="300"/>
        </w:trPr>
        <w:tc>
          <w:tcPr>
            <w:tcW w:w="2268" w:type="dxa"/>
            <w:tcBorders>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VRIS</w:t>
            </w:r>
          </w:p>
        </w:tc>
        <w:tc>
          <w:tcPr>
            <w:tcW w:w="7258" w:type="dxa"/>
            <w:tcBorders>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Vidaus reikalų informacinė sistema</w:t>
            </w:r>
          </w:p>
        </w:tc>
      </w:tr>
      <w:tr w:rsidR="00EB54AB" w:rsidTr="0033464C">
        <w:trPr>
          <w:trHeight w:val="300"/>
        </w:trPr>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VRM</w:t>
            </w:r>
          </w:p>
        </w:tc>
        <w:tc>
          <w:tcPr>
            <w:tcW w:w="7258" w:type="dxa"/>
            <w:tcBorders>
              <w:top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Lietuvos Respublikos vidaus reikalų ministerija</w:t>
            </w:r>
          </w:p>
        </w:tc>
      </w:tr>
      <w:tr w:rsidR="00EB54AB" w:rsidTr="0033464C">
        <w:trPr>
          <w:trHeight w:val="300"/>
        </w:trPr>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VTADB</w:t>
            </w:r>
          </w:p>
        </w:tc>
        <w:tc>
          <w:tcPr>
            <w:tcW w:w="7258" w:type="dxa"/>
            <w:tcBorders>
              <w:top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kern w:val="0"/>
                <w:lang w:eastAsia="en-US" w:bidi="ar-SA"/>
              </w:rPr>
              <w:t>Valstybinės techninės apžiūros duomenų bazė</w:t>
            </w:r>
          </w:p>
        </w:tc>
      </w:tr>
      <w:tr w:rsidR="00EB54AB" w:rsidTr="0033464C">
        <w:trPr>
          <w:trHeight w:val="300"/>
        </w:trPr>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MPS</w:t>
            </w:r>
          </w:p>
        </w:tc>
        <w:tc>
          <w:tcPr>
            <w:tcW w:w="7258" w:type="dxa"/>
            <w:tcBorders>
              <w:top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kern w:val="0"/>
                <w:lang w:eastAsia="en-US" w:bidi="ar-SA"/>
              </w:rPr>
            </w:pPr>
            <w:r w:rsidRPr="005821AC">
              <w:rPr>
                <w:color w:val="000000"/>
                <w:lang w:eastAsia="lt-LT"/>
              </w:rPr>
              <w:t>Mokestinės paskolos sutartis</w:t>
            </w:r>
          </w:p>
        </w:tc>
      </w:tr>
      <w:tr w:rsidR="00EB54AB" w:rsidTr="0033464C">
        <w:trPr>
          <w:trHeight w:val="300"/>
        </w:trPr>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Pr>
                <w:color w:val="000000"/>
                <w:kern w:val="0"/>
                <w:lang w:eastAsia="lt-LT" w:bidi="ar-SA"/>
              </w:rPr>
              <w:t>TPIS</w:t>
            </w:r>
          </w:p>
        </w:tc>
        <w:tc>
          <w:tcPr>
            <w:tcW w:w="7258" w:type="dxa"/>
            <w:tcBorders>
              <w:top w:val="single" w:sz="4" w:space="0" w:color="000000"/>
              <w:bottom w:val="single" w:sz="4" w:space="0" w:color="000000"/>
              <w:right w:val="single" w:sz="4" w:space="0" w:color="000000"/>
            </w:tcBorders>
            <w:shd w:val="clear" w:color="auto" w:fill="auto"/>
            <w:vAlign w:val="center"/>
          </w:tcPr>
          <w:p w:rsidR="00EB54AB" w:rsidRPr="005821AC" w:rsidRDefault="00EB54AB" w:rsidP="0033464C">
            <w:pPr>
              <w:suppressAutoHyphens w:val="0"/>
              <w:spacing w:line="252" w:lineRule="auto"/>
              <w:jc w:val="both"/>
              <w:textAlignment w:val="auto"/>
              <w:rPr>
                <w:color w:val="000000"/>
                <w:lang w:eastAsia="lt-LT"/>
              </w:rPr>
            </w:pPr>
            <w:r w:rsidRPr="007B029C">
              <w:rPr>
                <w:color w:val="000000"/>
                <w:lang w:eastAsia="lt-LT"/>
              </w:rPr>
              <w:t>Traktorininko pažymėjimų informacinė sistema</w:t>
            </w:r>
          </w:p>
        </w:tc>
      </w:tr>
      <w:tr w:rsidR="00EB54AB" w:rsidTr="0033464C">
        <w:trPr>
          <w:trHeight w:val="300"/>
        </w:trPr>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4AB" w:rsidRDefault="00EB54AB" w:rsidP="0033464C">
            <w:pPr>
              <w:suppressAutoHyphens w:val="0"/>
              <w:spacing w:line="252" w:lineRule="auto"/>
              <w:jc w:val="both"/>
              <w:textAlignment w:val="auto"/>
              <w:rPr>
                <w:color w:val="000000"/>
                <w:kern w:val="0"/>
                <w:lang w:eastAsia="lt-LT" w:bidi="ar-SA"/>
              </w:rPr>
            </w:pPr>
            <w:r w:rsidRPr="007B029C">
              <w:rPr>
                <w:color w:val="000000"/>
                <w:kern w:val="0"/>
                <w:lang w:eastAsia="lt-LT" w:bidi="ar-SA"/>
              </w:rPr>
              <w:t>TSMPR</w:t>
            </w:r>
          </w:p>
        </w:tc>
        <w:tc>
          <w:tcPr>
            <w:tcW w:w="7258" w:type="dxa"/>
            <w:tcBorders>
              <w:top w:val="single" w:sz="4" w:space="0" w:color="000000"/>
              <w:bottom w:val="single" w:sz="4" w:space="0" w:color="000000"/>
              <w:right w:val="single" w:sz="4" w:space="0" w:color="000000"/>
            </w:tcBorders>
            <w:shd w:val="clear" w:color="auto" w:fill="auto"/>
            <w:vAlign w:val="center"/>
          </w:tcPr>
          <w:p w:rsidR="00EB54AB" w:rsidRPr="007B029C" w:rsidRDefault="00EB54AB" w:rsidP="0033464C">
            <w:pPr>
              <w:spacing w:line="252" w:lineRule="auto"/>
              <w:jc w:val="both"/>
              <w:textAlignment w:val="auto"/>
              <w:rPr>
                <w:color w:val="000000"/>
                <w:lang w:eastAsia="lt-LT"/>
              </w:rPr>
            </w:pPr>
            <w:r w:rsidRPr="007B029C">
              <w:rPr>
                <w:color w:val="000000"/>
                <w:lang w:eastAsia="lt-LT"/>
              </w:rPr>
              <w:t>Lietuvos Respublikos traktorių, savaeigių ir žemės ūkio mašimų ir jų priekabų registras</w:t>
            </w:r>
          </w:p>
        </w:tc>
      </w:tr>
    </w:tbl>
    <w:p w:rsidR="00EB54AB" w:rsidRDefault="00EB54AB" w:rsidP="00EB54AB">
      <w:pPr>
        <w:pStyle w:val="Standard"/>
        <w:ind w:left="709"/>
        <w:jc w:val="both"/>
        <w:rPr>
          <w:b/>
        </w:rPr>
      </w:pPr>
      <w:bookmarkStart w:id="7" w:name="_Ref3639685"/>
      <w:bookmarkStart w:id="8" w:name="_Toc67497779"/>
      <w:r>
        <w:rPr>
          <w:b/>
        </w:rPr>
        <w:t>1.2. Registro apžvalga</w:t>
      </w:r>
      <w:bookmarkEnd w:id="7"/>
      <w:bookmarkEnd w:id="8"/>
    </w:p>
    <w:p w:rsidR="00EB54AB" w:rsidRDefault="00EB54AB" w:rsidP="00EB54AB">
      <w:pPr>
        <w:pStyle w:val="Standard"/>
        <w:ind w:left="1129"/>
        <w:jc w:val="both"/>
        <w:rPr>
          <w:b/>
        </w:rPr>
      </w:pPr>
    </w:p>
    <w:p w:rsidR="00EB54AB" w:rsidRDefault="00EB54AB" w:rsidP="00EB54AB">
      <w:pPr>
        <w:pStyle w:val="Sraopastraipa"/>
        <w:numPr>
          <w:ilvl w:val="2"/>
          <w:numId w:val="28"/>
        </w:numPr>
        <w:autoSpaceDN w:val="0"/>
        <w:ind w:left="0" w:firstLine="680"/>
        <w:jc w:val="both"/>
      </w:pPr>
      <w:r w:rsidRPr="001E40FE">
        <w:rPr>
          <w:lang w:eastAsia="lt-LT"/>
        </w:rPr>
        <w:t xml:space="preserve">Registro steigimo teisiniai pagrindai nustatyti </w:t>
      </w:r>
      <w:r w:rsidRPr="001E40FE">
        <w:rPr>
          <w:rFonts w:eastAsia="Calibri"/>
        </w:rPr>
        <w:t xml:space="preserve">Lietuvos Respublikos administracinių nusižengimų registro įstatyme, </w:t>
      </w:r>
      <w:r w:rsidRPr="001E40FE">
        <w:rPr>
          <w:lang w:eastAsia="lt-LT"/>
        </w:rPr>
        <w:t>Registras reorganizuotas 2016 m. gruodžio 26 d. Lietuvos Respublikos Vyriausybės nutarimu Nr. 1278 „Dėl Administracinių teisės pažeidimų registro reorganizavimo ir Administracinių nusižengimų registro nuostatų patvirtinimo“, reorganizuojant Administracinių teisės pažeidimų registrą. Registro valdytoja – Lietuvos Respublikos vidaus reikalų ministerija, reorganizuoto Administracinių nusižengimų registro veiklos pradžia – 2017 m. sausio 1 d. Registro paskirtis – registruoti Lietuvos Respublikos administracinių nusižengimų registro įstatymo nustatytus Registro objektus administracinių nusižengimų teisenai užtikrinti, rinkti, kaupti, apdoroti, sisteminti, saugoti ir teikti fiziniams ir juridiniams asmenims Registro duomenis, atlikti kitus Registro duomenų tvarkymo veiksmus.</w:t>
      </w:r>
      <w:r w:rsidRPr="00646243">
        <w:t xml:space="preserve"> </w:t>
      </w:r>
      <w:r w:rsidRPr="001E40FE">
        <w:rPr>
          <w:lang w:eastAsia="lt-LT"/>
        </w:rPr>
        <w:t>Registro objektai yra ANK nustatyta tvarka užfiksuoti administraciniai nusižengimai. Registro objektais taip pat laikomi administraciniai teisės pažeidimai, padaryti iki ANK įsigaliojimo, kurie neperkvalifikuoti į administracinius nusižengimus Lietuvos Respublikos administracinių nusižengimų kodekso patvirtinimo, įsigaliojimo ir įgyvendinimo tvarkos įstatymo nustatyta tvarka. Be IRD Registro tvarkytojais paskirtos institucijos ir įstaigos,</w:t>
      </w:r>
      <w:r w:rsidRPr="001E40FE">
        <w:rPr>
          <w:color w:val="FF0000"/>
          <w:lang w:eastAsia="lt-LT"/>
        </w:rPr>
        <w:t xml:space="preserve"> </w:t>
      </w:r>
      <w:r w:rsidRPr="001E40FE">
        <w:rPr>
          <w:lang w:eastAsia="lt-LT"/>
        </w:rPr>
        <w:t>kurių pareigūnai pagal ANK 589 straipsnį turi teisę pradėti administracinių nusižengimų teiseną, atlikti administracinių nusižengimų tyrimą ir surašyti administracinių.</w:t>
      </w:r>
    </w:p>
    <w:p w:rsidR="00EB54AB" w:rsidRPr="007F05E7" w:rsidRDefault="00EB54AB" w:rsidP="00EB54AB">
      <w:pPr>
        <w:pStyle w:val="Sraopastraipa"/>
        <w:numPr>
          <w:ilvl w:val="2"/>
          <w:numId w:val="28"/>
        </w:numPr>
        <w:autoSpaceDN w:val="0"/>
        <w:ind w:left="0" w:firstLine="680"/>
        <w:jc w:val="both"/>
      </w:pPr>
      <w:r w:rsidRPr="007F05E7">
        <w:t>Žemiau iliustruojama esama ANR architektūra ir sąsajos su kitomis sistemomis</w:t>
      </w:r>
      <w:r>
        <w:t>:</w:t>
      </w:r>
    </w:p>
    <w:p w:rsidR="00EB54AB" w:rsidRPr="007F05E7" w:rsidRDefault="00EB54AB" w:rsidP="00EB54AB">
      <w:pPr>
        <w:keepNext/>
        <w:jc w:val="center"/>
      </w:pPr>
      <w:r>
        <w:rPr>
          <w:noProof/>
          <w:lang w:eastAsia="lt-LT" w:bidi="ar-SA"/>
        </w:rPr>
        <w:lastRenderedPageBreak/>
        <w:drawing>
          <wp:inline distT="0" distB="0" distL="0" distR="0" wp14:anchorId="2062CA7C" wp14:editId="08FEC580">
            <wp:extent cx="4800600" cy="48471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4800600" cy="4847162"/>
                    </a:xfrm>
                    <a:prstGeom prst="rect">
                      <a:avLst/>
                    </a:prstGeom>
                  </pic:spPr>
                </pic:pic>
              </a:graphicData>
            </a:graphic>
          </wp:inline>
        </w:drawing>
      </w:r>
    </w:p>
    <w:p w:rsidR="00EB54AB" w:rsidRPr="001A3471" w:rsidRDefault="00EB54AB" w:rsidP="00EB54AB">
      <w:pPr>
        <w:pStyle w:val="FiguresTitle"/>
        <w:spacing w:after="0"/>
        <w:rPr>
          <w:rStyle w:val="Emfaz"/>
          <w:iCs w:val="0"/>
        </w:rPr>
      </w:pPr>
    </w:p>
    <w:p w:rsidR="00EB54AB" w:rsidRPr="00207339" w:rsidRDefault="00EB54AB" w:rsidP="00EB54AB">
      <w:pPr>
        <w:pStyle w:val="FiguresTitle"/>
        <w:spacing w:after="0"/>
        <w:rPr>
          <w:rStyle w:val="Emfaz"/>
          <w:i/>
        </w:rPr>
      </w:pPr>
      <w:r w:rsidRPr="00207339">
        <w:rPr>
          <w:rStyle w:val="Emfaz"/>
          <w:i/>
        </w:rPr>
        <w:fldChar w:fldCharType="begin"/>
      </w:r>
      <w:r w:rsidRPr="00207339">
        <w:rPr>
          <w:rStyle w:val="Emfaz"/>
        </w:rPr>
        <w:instrText xml:space="preserve"> SEQ Figure \* ARABIC \s 1 </w:instrText>
      </w:r>
      <w:r w:rsidRPr="00207339">
        <w:rPr>
          <w:rStyle w:val="Emfaz"/>
          <w:i/>
        </w:rPr>
        <w:fldChar w:fldCharType="separate"/>
      </w:r>
      <w:r>
        <w:rPr>
          <w:rStyle w:val="Emfaz"/>
        </w:rPr>
        <w:t>1</w:t>
      </w:r>
      <w:r w:rsidRPr="00207339">
        <w:rPr>
          <w:rStyle w:val="Emfaz"/>
          <w:i/>
        </w:rPr>
        <w:fldChar w:fldCharType="end"/>
      </w:r>
      <w:r w:rsidRPr="00207339">
        <w:rPr>
          <w:rStyle w:val="Emfaz"/>
        </w:rPr>
        <w:t xml:space="preserve"> pav. </w:t>
      </w:r>
      <w:r w:rsidRPr="001A3471">
        <w:rPr>
          <w:rStyle w:val="Emfaz"/>
        </w:rPr>
        <w:t>ANR architektūr</w:t>
      </w:r>
      <w:r>
        <w:rPr>
          <w:rStyle w:val="Emfaz"/>
        </w:rPr>
        <w:t>os schema</w:t>
      </w:r>
    </w:p>
    <w:p w:rsidR="00EB54AB" w:rsidRPr="00A03A63" w:rsidRDefault="00EB54AB" w:rsidP="00EB54AB">
      <w:pPr>
        <w:autoSpaceDN w:val="0"/>
        <w:jc w:val="both"/>
      </w:pPr>
      <w:r w:rsidRPr="00A03A63">
        <w:t>Architektūros diagramoje pavaizduotų komponentų paaiškinimai:</w:t>
      </w:r>
    </w:p>
    <w:p w:rsidR="00EB54AB" w:rsidRPr="00A03A63" w:rsidRDefault="00EB54AB" w:rsidP="00EB54AB">
      <w:pPr>
        <w:pStyle w:val="Sraopastraipa"/>
        <w:numPr>
          <w:ilvl w:val="0"/>
          <w:numId w:val="27"/>
        </w:numPr>
        <w:autoSpaceDN w:val="0"/>
        <w:ind w:left="0" w:firstLine="680"/>
        <w:jc w:val="both"/>
      </w:pPr>
      <w:r w:rsidRPr="00A03A63">
        <w:t>Vieningo prisijungimo (toliau – SSO) serveris – tinklinė paslauga, suteikianti galimybę centralizuotai autentifikuoti ir autorizuoti ANR naudotojus prisijungimo metu autentifikavimo ir autorizacijos sistemoje (toliau – ADMIN III).</w:t>
      </w:r>
    </w:p>
    <w:p w:rsidR="00EB54AB" w:rsidRPr="00A03A63" w:rsidRDefault="00EB54AB" w:rsidP="00EB54AB">
      <w:pPr>
        <w:pStyle w:val="Sraopastraipa"/>
        <w:numPr>
          <w:ilvl w:val="0"/>
          <w:numId w:val="27"/>
        </w:numPr>
        <w:autoSpaceDN w:val="0"/>
        <w:ind w:left="0" w:firstLine="680"/>
        <w:jc w:val="both"/>
      </w:pPr>
      <w:r w:rsidRPr="00A03A63">
        <w:t>ADMIN III – Autentifikavimo ir autorizacijos sistema. Kiekvienas sistemos naudotojas yra susietas su įstaiga – ANR tvarkytoju ir jos padaliniu. Prisijungimo prie sistemos metu, naudotojo institucija, pareigos ir teisių rinkinys gaunami iš ADMIN III.</w:t>
      </w:r>
    </w:p>
    <w:p w:rsidR="00EB54AB" w:rsidRPr="00A03A63" w:rsidRDefault="00EB54AB" w:rsidP="00EB54AB">
      <w:pPr>
        <w:pStyle w:val="Sraopastraipa"/>
        <w:numPr>
          <w:ilvl w:val="0"/>
          <w:numId w:val="27"/>
        </w:numPr>
        <w:autoSpaceDN w:val="0"/>
        <w:ind w:left="0" w:firstLine="680"/>
        <w:jc w:val="both"/>
      </w:pPr>
      <w:r w:rsidRPr="00A03A63">
        <w:t>Senoji GM sąsaja – sistema, perduodanti senesnių greičio matuoklių užfiksuotų administracinių teisės pažeidimų duomenis į ANR.</w:t>
      </w:r>
    </w:p>
    <w:p w:rsidR="00EB54AB" w:rsidRPr="00A03A63" w:rsidRDefault="00EB54AB" w:rsidP="00EB54AB">
      <w:pPr>
        <w:pStyle w:val="Sraopastraipa"/>
        <w:numPr>
          <w:ilvl w:val="0"/>
          <w:numId w:val="27"/>
        </w:numPr>
        <w:autoSpaceDN w:val="0"/>
        <w:ind w:left="0" w:firstLine="680"/>
        <w:jc w:val="both"/>
      </w:pPr>
      <w:r w:rsidRPr="00A03A63">
        <w:t xml:space="preserve">Universali sąsaja - programinė įranga, realizuota žiniatinklio (angl. </w:t>
      </w:r>
      <w:r w:rsidRPr="001E40FE">
        <w:t>web services</w:t>
      </w:r>
      <w:r w:rsidRPr="00A03A63">
        <w:t>) paslaugų pagrindu, kurią sudaro metodai duomenims iš pažeidimų fiksavimo sistemų ir naujų matuoklių  į ANR perduoti.</w:t>
      </w:r>
    </w:p>
    <w:p w:rsidR="00EB54AB" w:rsidRPr="00A03A63" w:rsidRDefault="00EB54AB" w:rsidP="00EB54AB">
      <w:pPr>
        <w:pStyle w:val="Sraopastraipa"/>
        <w:numPr>
          <w:ilvl w:val="0"/>
          <w:numId w:val="27"/>
        </w:numPr>
        <w:autoSpaceDN w:val="0"/>
        <w:ind w:left="0" w:firstLine="680"/>
        <w:jc w:val="both"/>
      </w:pPr>
      <w:r w:rsidRPr="00A03A63">
        <w:t>TPĮ – tarpinė programinė įranga (</w:t>
      </w:r>
      <w:r w:rsidRPr="001E40FE">
        <w:rPr>
          <w:i/>
        </w:rPr>
        <w:t>WebMethods</w:t>
      </w:r>
      <w:r w:rsidRPr="00A03A63">
        <w:t>). VRM IRD įdiegta tarpinė programinė įranga. Ši tarpinė įranga užtikrina duomenų mainus tarp VRM informacinių sistemų.</w:t>
      </w:r>
    </w:p>
    <w:p w:rsidR="00EB54AB" w:rsidRPr="001E40FE" w:rsidRDefault="00EB54AB" w:rsidP="00EB54AB">
      <w:pPr>
        <w:pStyle w:val="Sraopastraipa"/>
        <w:numPr>
          <w:ilvl w:val="0"/>
          <w:numId w:val="27"/>
        </w:numPr>
        <w:autoSpaceDN w:val="0"/>
        <w:ind w:left="0" w:firstLine="680"/>
        <w:jc w:val="both"/>
      </w:pPr>
      <w:r w:rsidRPr="001E40FE">
        <w:t>AUDIT III - VRIS naudojama auditavimo sistema.</w:t>
      </w:r>
    </w:p>
    <w:p w:rsidR="00EB54AB" w:rsidRPr="001E40FE" w:rsidRDefault="00EB54AB" w:rsidP="00EB54AB">
      <w:pPr>
        <w:pStyle w:val="Sraopastraipa"/>
        <w:numPr>
          <w:ilvl w:val="0"/>
          <w:numId w:val="27"/>
        </w:numPr>
        <w:autoSpaceDN w:val="0"/>
        <w:ind w:left="0" w:firstLine="680"/>
        <w:jc w:val="both"/>
      </w:pPr>
      <w:r w:rsidRPr="001E40FE">
        <w:t>PRĮR – Policijos registruojamų įvykių registras. PD ir pavaldžių įstaigų darbuotojai registruoja pranešimus apie įvykį, policijos ikiteisminius tyrimus ir nusikalstamas veikas.</w:t>
      </w:r>
    </w:p>
    <w:p w:rsidR="00EB54AB" w:rsidRPr="001E40FE" w:rsidRDefault="00EB54AB" w:rsidP="00EB54AB">
      <w:pPr>
        <w:pStyle w:val="Sraopastraipa"/>
        <w:numPr>
          <w:ilvl w:val="0"/>
          <w:numId w:val="27"/>
        </w:numPr>
        <w:autoSpaceDN w:val="0"/>
        <w:ind w:left="0" w:firstLine="680"/>
        <w:jc w:val="both"/>
      </w:pPr>
      <w:r w:rsidRPr="001E40FE">
        <w:t>ANR – Administracinių nusižengimų registras.</w:t>
      </w:r>
    </w:p>
    <w:p w:rsidR="00EB54AB" w:rsidRPr="001E40FE" w:rsidRDefault="00EB54AB" w:rsidP="00EB54AB">
      <w:pPr>
        <w:pStyle w:val="Sraopastraipa"/>
        <w:numPr>
          <w:ilvl w:val="0"/>
          <w:numId w:val="27"/>
        </w:numPr>
        <w:autoSpaceDN w:val="0"/>
        <w:ind w:left="0" w:firstLine="680"/>
        <w:jc w:val="both"/>
      </w:pPr>
      <w:r w:rsidRPr="001E40FE">
        <w:t>ANR DB – ANR duomenų bazė. Darbinėje Oracle schemoje saugomi einamieji pažeidimų duomenys, o archyvinėje – suarchyvuoti ir matomi tik tam teisę turintiems naudotojams.</w:t>
      </w:r>
    </w:p>
    <w:p w:rsidR="00EB54AB" w:rsidRPr="001E40FE" w:rsidRDefault="00EB54AB" w:rsidP="00EB54AB">
      <w:pPr>
        <w:pStyle w:val="Sraopastraipa"/>
        <w:numPr>
          <w:ilvl w:val="0"/>
          <w:numId w:val="27"/>
        </w:numPr>
        <w:autoSpaceDN w:val="0"/>
        <w:ind w:left="0" w:firstLine="680"/>
        <w:jc w:val="both"/>
      </w:pPr>
      <w:r w:rsidRPr="001E40FE">
        <w:t>EĮIS – Eismo įvykių informacinė sistema.</w:t>
      </w:r>
    </w:p>
    <w:p w:rsidR="00EB54AB" w:rsidRPr="001E40FE" w:rsidRDefault="00EB54AB" w:rsidP="00EB54AB">
      <w:pPr>
        <w:pStyle w:val="Sraopastraipa"/>
        <w:numPr>
          <w:ilvl w:val="0"/>
          <w:numId w:val="27"/>
        </w:numPr>
        <w:autoSpaceDN w:val="0"/>
        <w:ind w:left="0" w:firstLine="680"/>
        <w:jc w:val="both"/>
      </w:pPr>
      <w:r w:rsidRPr="001E40FE">
        <w:t>EĮIS DB – EĮIS duomenų bazė.</w:t>
      </w:r>
    </w:p>
    <w:p w:rsidR="00EB54AB" w:rsidRPr="001E40FE" w:rsidRDefault="00EB54AB" w:rsidP="00EB54AB">
      <w:pPr>
        <w:pStyle w:val="Sraopastraipa"/>
        <w:numPr>
          <w:ilvl w:val="0"/>
          <w:numId w:val="27"/>
        </w:numPr>
        <w:autoSpaceDN w:val="0"/>
        <w:ind w:left="0" w:firstLine="680"/>
        <w:jc w:val="both"/>
      </w:pPr>
      <w:r w:rsidRPr="001E40FE">
        <w:t>PEPS - Policijos elektroninių paslaugų sistema.</w:t>
      </w:r>
    </w:p>
    <w:p w:rsidR="00EB54AB" w:rsidRPr="001E40FE" w:rsidRDefault="00EB54AB" w:rsidP="00EB54AB">
      <w:pPr>
        <w:pStyle w:val="Sraopastraipa"/>
        <w:numPr>
          <w:ilvl w:val="0"/>
          <w:numId w:val="27"/>
        </w:numPr>
        <w:autoSpaceDN w:val="0"/>
        <w:ind w:left="0" w:firstLine="680"/>
        <w:jc w:val="both"/>
      </w:pPr>
      <w:r w:rsidRPr="001E40FE">
        <w:lastRenderedPageBreak/>
        <w:t>LITEKO - Teismų informacinė sistema.</w:t>
      </w:r>
    </w:p>
    <w:p w:rsidR="00EB54AB" w:rsidRPr="001E40FE" w:rsidRDefault="00EB54AB" w:rsidP="00EB54AB">
      <w:pPr>
        <w:pStyle w:val="Sraopastraipa"/>
        <w:numPr>
          <w:ilvl w:val="0"/>
          <w:numId w:val="27"/>
        </w:numPr>
        <w:autoSpaceDN w:val="0"/>
        <w:ind w:left="0" w:firstLine="680"/>
        <w:jc w:val="both"/>
      </w:pPr>
      <w:r w:rsidRPr="001E40FE">
        <w:t>MAIS – Mokesčių apskaitos informacinė sistema, teikianti ANR duomenis apie atliktus pažeidėjų mokėjimus.</w:t>
      </w:r>
    </w:p>
    <w:p w:rsidR="00EB54AB" w:rsidRPr="001E40FE" w:rsidRDefault="00EB54AB" w:rsidP="00EB54AB">
      <w:pPr>
        <w:pStyle w:val="Sraopastraipa"/>
        <w:numPr>
          <w:ilvl w:val="0"/>
          <w:numId w:val="27"/>
        </w:numPr>
        <w:autoSpaceDN w:val="0"/>
        <w:ind w:left="0" w:firstLine="680"/>
        <w:jc w:val="both"/>
      </w:pPr>
      <w:r w:rsidRPr="001E40FE">
        <w:t>EUCARIS – Informacinė sistema apsikeitimui techniniais transporto priemonių ir su transporto priemonėmis susijusių asmenų (savininkų, valdytojų) duomenimis tarp skirtingų šalių teisėsaugos institucijų.</w:t>
      </w:r>
    </w:p>
    <w:p w:rsidR="00EB54AB" w:rsidRPr="001E40FE" w:rsidRDefault="00EB54AB" w:rsidP="00EB54AB">
      <w:pPr>
        <w:pStyle w:val="Sraopastraipa"/>
        <w:numPr>
          <w:ilvl w:val="0"/>
          <w:numId w:val="27"/>
        </w:numPr>
        <w:autoSpaceDN w:val="0"/>
        <w:ind w:left="0" w:firstLine="680"/>
        <w:jc w:val="both"/>
      </w:pPr>
      <w:r w:rsidRPr="001E40FE">
        <w:t>ANPR – Automatinė valstybinių numerių atpažinimo sistema.</w:t>
      </w:r>
    </w:p>
    <w:p w:rsidR="00EB54AB" w:rsidRPr="001E40FE" w:rsidRDefault="00EB54AB" w:rsidP="00EB54AB">
      <w:pPr>
        <w:pStyle w:val="Sraopastraipa"/>
        <w:numPr>
          <w:ilvl w:val="0"/>
          <w:numId w:val="27"/>
        </w:numPr>
        <w:autoSpaceDN w:val="0"/>
        <w:ind w:left="0" w:firstLine="680"/>
        <w:jc w:val="both"/>
      </w:pPr>
      <w:r w:rsidRPr="001E40FE">
        <w:t>Kitos IS – Kitos išorinės sistemos, kurioms teikiama ATP kūrimo ir paieškos integracinė paslauga.</w:t>
      </w:r>
    </w:p>
    <w:p w:rsidR="00EB54AB" w:rsidRPr="001E40FE" w:rsidRDefault="00EB54AB" w:rsidP="00EB54AB">
      <w:pPr>
        <w:pStyle w:val="Sraopastraipa"/>
        <w:numPr>
          <w:ilvl w:val="0"/>
          <w:numId w:val="27"/>
        </w:numPr>
        <w:autoSpaceDN w:val="0"/>
        <w:ind w:left="0" w:firstLine="680"/>
        <w:jc w:val="both"/>
      </w:pPr>
      <w:r w:rsidRPr="001E40FE">
        <w:t>GR - Lietuvos Respublikos Gyventojų registras (kopija, saugoma IRD).</w:t>
      </w:r>
    </w:p>
    <w:p w:rsidR="00EB54AB" w:rsidRPr="001E40FE" w:rsidRDefault="00EB54AB" w:rsidP="00EB54AB">
      <w:pPr>
        <w:pStyle w:val="Sraopastraipa"/>
        <w:numPr>
          <w:ilvl w:val="0"/>
          <w:numId w:val="27"/>
        </w:numPr>
        <w:autoSpaceDN w:val="0"/>
        <w:ind w:left="0" w:firstLine="680"/>
        <w:jc w:val="both"/>
      </w:pPr>
      <w:r w:rsidRPr="001E40FE">
        <w:t>JAR - Juridinių asmenų registras (kopija, saugoma IRD).</w:t>
      </w:r>
    </w:p>
    <w:p w:rsidR="00EB54AB" w:rsidRPr="001E40FE" w:rsidRDefault="00EB54AB" w:rsidP="00EB54AB">
      <w:pPr>
        <w:pStyle w:val="Sraopastraipa"/>
        <w:numPr>
          <w:ilvl w:val="0"/>
          <w:numId w:val="27"/>
        </w:numPr>
        <w:autoSpaceDN w:val="0"/>
        <w:ind w:left="0" w:firstLine="680"/>
        <w:jc w:val="both"/>
      </w:pPr>
      <w:r w:rsidRPr="001E40FE">
        <w:t>PPPTR - Prevencinių poveikio priemonių taikymo registras.</w:t>
      </w:r>
    </w:p>
    <w:p w:rsidR="00EB54AB" w:rsidRPr="001E40FE" w:rsidRDefault="00EB54AB" w:rsidP="00EB54AB">
      <w:pPr>
        <w:pStyle w:val="Sraopastraipa"/>
        <w:numPr>
          <w:ilvl w:val="0"/>
          <w:numId w:val="27"/>
        </w:numPr>
        <w:autoSpaceDN w:val="0"/>
        <w:ind w:left="0" w:firstLine="680"/>
        <w:jc w:val="both"/>
      </w:pPr>
      <w:r w:rsidRPr="001E40FE">
        <w:t>PPP - Policijos personalo posistemis.</w:t>
      </w:r>
    </w:p>
    <w:p w:rsidR="00EB54AB" w:rsidRPr="001E40FE" w:rsidRDefault="00EB54AB" w:rsidP="00EB54AB">
      <w:pPr>
        <w:pStyle w:val="Sraopastraipa"/>
        <w:numPr>
          <w:ilvl w:val="0"/>
          <w:numId w:val="27"/>
        </w:numPr>
        <w:autoSpaceDN w:val="0"/>
        <w:ind w:left="0" w:firstLine="680"/>
        <w:jc w:val="both"/>
      </w:pPr>
      <w:r w:rsidRPr="001E40FE">
        <w:t>IAR - Ieškomų asmenų, neatpažintų lavonų ir bejėgių asmenų žinybinis registras.</w:t>
      </w:r>
    </w:p>
    <w:p w:rsidR="00EB54AB" w:rsidRPr="001E40FE" w:rsidRDefault="00EB54AB" w:rsidP="00EB54AB">
      <w:pPr>
        <w:pStyle w:val="Sraopastraipa"/>
        <w:numPr>
          <w:ilvl w:val="0"/>
          <w:numId w:val="27"/>
        </w:numPr>
        <w:autoSpaceDN w:val="0"/>
        <w:ind w:left="0" w:firstLine="680"/>
        <w:jc w:val="both"/>
      </w:pPr>
      <w:r w:rsidRPr="001E40FE">
        <w:t>LVP – Policijos licencijuojamos veiklos informacinė.</w:t>
      </w:r>
    </w:p>
    <w:p w:rsidR="00EB54AB" w:rsidRPr="001E40FE" w:rsidRDefault="00EB54AB" w:rsidP="00EB54AB">
      <w:pPr>
        <w:pStyle w:val="Sraopastraipa"/>
        <w:numPr>
          <w:ilvl w:val="0"/>
          <w:numId w:val="27"/>
        </w:numPr>
        <w:autoSpaceDN w:val="0"/>
        <w:ind w:left="0" w:firstLine="680"/>
        <w:jc w:val="both"/>
      </w:pPr>
      <w:r w:rsidRPr="001E40FE">
        <w:t>KTPVR - Lietuvos Respublikos kelių transporto priemonių vairuotojų registras.</w:t>
      </w:r>
    </w:p>
    <w:p w:rsidR="00EB54AB" w:rsidRPr="001E40FE" w:rsidRDefault="00EB54AB" w:rsidP="00EB54AB">
      <w:pPr>
        <w:pStyle w:val="Sraopastraipa"/>
        <w:numPr>
          <w:ilvl w:val="0"/>
          <w:numId w:val="27"/>
        </w:numPr>
        <w:autoSpaceDN w:val="0"/>
        <w:ind w:left="0" w:firstLine="680"/>
        <w:jc w:val="both"/>
      </w:pPr>
      <w:r w:rsidRPr="001E40FE">
        <w:t>ITPR - Ieškomų transporto priemonių registras.</w:t>
      </w:r>
    </w:p>
    <w:p w:rsidR="00EB54AB" w:rsidRPr="001E40FE" w:rsidRDefault="00EB54AB" w:rsidP="00EB54AB">
      <w:pPr>
        <w:pStyle w:val="Sraopastraipa"/>
        <w:numPr>
          <w:ilvl w:val="0"/>
          <w:numId w:val="27"/>
        </w:numPr>
        <w:autoSpaceDN w:val="0"/>
        <w:ind w:left="0" w:firstLine="680"/>
        <w:jc w:val="both"/>
      </w:pPr>
      <w:r w:rsidRPr="001E40FE">
        <w:t>KLASIF – Klasifikatorių tvarkymo posistemis.</w:t>
      </w:r>
    </w:p>
    <w:p w:rsidR="00EB54AB" w:rsidRPr="001E40FE" w:rsidRDefault="00EB54AB" w:rsidP="00EB54AB">
      <w:pPr>
        <w:pStyle w:val="Sraopastraipa"/>
        <w:numPr>
          <w:ilvl w:val="0"/>
          <w:numId w:val="27"/>
        </w:numPr>
        <w:autoSpaceDN w:val="0"/>
        <w:ind w:left="0" w:firstLine="680"/>
        <w:jc w:val="both"/>
      </w:pPr>
      <w:r w:rsidRPr="001E40FE">
        <w:t>SODRA - VSDFV informacinė sistema.</w:t>
      </w:r>
    </w:p>
    <w:p w:rsidR="00EB54AB" w:rsidRPr="001E40FE" w:rsidRDefault="00EB54AB" w:rsidP="00EB54AB">
      <w:pPr>
        <w:pStyle w:val="Sraopastraipa"/>
        <w:numPr>
          <w:ilvl w:val="0"/>
          <w:numId w:val="27"/>
        </w:numPr>
        <w:autoSpaceDN w:val="0"/>
        <w:ind w:left="0" w:firstLine="680"/>
        <w:jc w:val="both"/>
      </w:pPr>
      <w:r w:rsidRPr="001E40FE">
        <w:t>DRAUD – Lietuvos Respublikos Draudimo priežiūros komisijos duomenų bazė.</w:t>
      </w:r>
    </w:p>
    <w:p w:rsidR="00EB54AB" w:rsidRPr="001E40FE" w:rsidRDefault="00EB54AB" w:rsidP="00EB54AB">
      <w:pPr>
        <w:pStyle w:val="Sraopastraipa"/>
        <w:numPr>
          <w:ilvl w:val="0"/>
          <w:numId w:val="27"/>
        </w:numPr>
        <w:autoSpaceDN w:val="0"/>
        <w:ind w:left="0" w:firstLine="680"/>
        <w:jc w:val="both"/>
      </w:pPr>
      <w:r w:rsidRPr="001E40FE">
        <w:t>VTADB - Valstybinės techninės apžiūros duomenų bazė.</w:t>
      </w:r>
    </w:p>
    <w:p w:rsidR="00EB54AB" w:rsidRPr="001E40FE" w:rsidRDefault="00EB54AB" w:rsidP="00EB54AB">
      <w:pPr>
        <w:pStyle w:val="Sraopastraipa"/>
        <w:numPr>
          <w:ilvl w:val="0"/>
          <w:numId w:val="27"/>
        </w:numPr>
        <w:autoSpaceDN w:val="0"/>
        <w:ind w:left="0" w:firstLine="680"/>
        <w:jc w:val="both"/>
      </w:pPr>
      <w:r w:rsidRPr="001E40FE">
        <w:t>VSATIS - Valstybės sienos apsaugos tarnybos informacinė sistema.</w:t>
      </w:r>
    </w:p>
    <w:p w:rsidR="00EB54AB" w:rsidRPr="001E40FE" w:rsidRDefault="00EB54AB" w:rsidP="00EB54AB">
      <w:pPr>
        <w:pStyle w:val="Sraopastraipa"/>
        <w:numPr>
          <w:ilvl w:val="0"/>
          <w:numId w:val="27"/>
        </w:numPr>
        <w:autoSpaceDN w:val="0"/>
        <w:ind w:left="0" w:firstLine="680"/>
        <w:jc w:val="both"/>
      </w:pPr>
      <w:r w:rsidRPr="001E40FE">
        <w:t>VSATP – VSAT personalo taikomoji tvarkymo sistema.</w:t>
      </w:r>
    </w:p>
    <w:p w:rsidR="00EB54AB" w:rsidRPr="001E40FE" w:rsidRDefault="00EB54AB" w:rsidP="00EB54AB">
      <w:pPr>
        <w:pStyle w:val="Sraopastraipa"/>
        <w:numPr>
          <w:ilvl w:val="0"/>
          <w:numId w:val="27"/>
        </w:numPr>
        <w:autoSpaceDN w:val="0"/>
        <w:ind w:left="0" w:firstLine="680"/>
        <w:jc w:val="both"/>
      </w:pPr>
      <w:r w:rsidRPr="001E40FE">
        <w:t>ĮKNR – Įtariamų, kaltinamų ir nuteistų registras.</w:t>
      </w:r>
    </w:p>
    <w:p w:rsidR="00EB54AB" w:rsidRPr="001E40FE" w:rsidRDefault="00EB54AB" w:rsidP="00EB54AB">
      <w:pPr>
        <w:pStyle w:val="Sraopastraipa"/>
        <w:numPr>
          <w:ilvl w:val="0"/>
          <w:numId w:val="27"/>
        </w:numPr>
        <w:autoSpaceDN w:val="0"/>
        <w:ind w:left="0" w:firstLine="680"/>
        <w:jc w:val="both"/>
      </w:pPr>
      <w:r w:rsidRPr="001E40FE">
        <w:t>KTPR – Lietuvos Respublikos kelių transporto priemonių registras.</w:t>
      </w:r>
    </w:p>
    <w:p w:rsidR="00EB54AB" w:rsidRPr="001E40FE" w:rsidRDefault="00EB54AB" w:rsidP="00EB54AB">
      <w:pPr>
        <w:pStyle w:val="Sraopastraipa"/>
        <w:numPr>
          <w:ilvl w:val="0"/>
          <w:numId w:val="27"/>
        </w:numPr>
        <w:autoSpaceDN w:val="0"/>
        <w:ind w:left="0" w:firstLine="680"/>
        <w:jc w:val="both"/>
      </w:pPr>
      <w:r w:rsidRPr="001E40FE">
        <w:t>KDIS - Lietuvos automobilių kelių direkcijos informacinė sistema.</w:t>
      </w:r>
    </w:p>
    <w:p w:rsidR="00EB54AB" w:rsidRPr="001E40FE" w:rsidRDefault="00EB54AB" w:rsidP="00EB54AB">
      <w:pPr>
        <w:pStyle w:val="Sraopastraipa"/>
        <w:autoSpaceDN w:val="0"/>
        <w:ind w:left="0" w:firstLine="680"/>
        <w:contextualSpacing w:val="0"/>
        <w:jc w:val="both"/>
        <w:rPr>
          <w:rFonts w:cs="Times New Roman"/>
          <w:szCs w:val="24"/>
        </w:rPr>
      </w:pPr>
    </w:p>
    <w:p w:rsidR="00EB54AB" w:rsidRPr="001E40FE" w:rsidRDefault="00EB54AB" w:rsidP="00EB54AB">
      <w:pPr>
        <w:pStyle w:val="Sraopastraipa"/>
        <w:autoSpaceDN w:val="0"/>
        <w:ind w:left="0" w:firstLine="680"/>
        <w:contextualSpacing w:val="0"/>
        <w:jc w:val="both"/>
        <w:rPr>
          <w:rFonts w:cs="Times New Roman"/>
          <w:szCs w:val="24"/>
        </w:rPr>
      </w:pPr>
      <w:r w:rsidRPr="001E40FE">
        <w:rPr>
          <w:rFonts w:cs="Times New Roman"/>
          <w:szCs w:val="24"/>
        </w:rPr>
        <w:t>1.2.3. ANR naudojamos technologijos:</w:t>
      </w:r>
    </w:p>
    <w:p w:rsidR="00EB54AB" w:rsidRPr="001E40FE" w:rsidRDefault="00EB54AB" w:rsidP="00EB54AB">
      <w:pPr>
        <w:pStyle w:val="Sraopastraipa"/>
        <w:numPr>
          <w:ilvl w:val="1"/>
          <w:numId w:val="27"/>
        </w:numPr>
        <w:autoSpaceDN w:val="0"/>
        <w:ind w:left="0" w:firstLine="680"/>
        <w:contextualSpacing w:val="0"/>
        <w:jc w:val="both"/>
        <w:rPr>
          <w:rFonts w:cs="Times New Roman"/>
          <w:szCs w:val="24"/>
        </w:rPr>
      </w:pPr>
      <w:r w:rsidRPr="001E40FE">
        <w:rPr>
          <w:rFonts w:cs="Times New Roman"/>
          <w:szCs w:val="24"/>
        </w:rPr>
        <w:t>Duomenų bazės serveris:</w:t>
      </w:r>
    </w:p>
    <w:p w:rsidR="00EB54AB" w:rsidRPr="001E40FE" w:rsidRDefault="00EB54AB" w:rsidP="00EB54AB">
      <w:pPr>
        <w:autoSpaceDN w:val="0"/>
        <w:ind w:firstLine="680"/>
        <w:jc w:val="both"/>
      </w:pPr>
      <w:r w:rsidRPr="001E40FE">
        <w:t>Operacinė sistema - CentOS Linux 7.6.1810;</w:t>
      </w:r>
    </w:p>
    <w:p w:rsidR="00EB54AB" w:rsidRPr="001E40FE" w:rsidRDefault="00EB54AB" w:rsidP="00EB54AB">
      <w:pPr>
        <w:autoSpaceDN w:val="0"/>
        <w:ind w:firstLine="680"/>
        <w:jc w:val="both"/>
      </w:pPr>
      <w:r w:rsidRPr="001E40FE">
        <w:t>DB versija - Oracle Database 12c Enterprise Edition Release 12.2.0.1.0;</w:t>
      </w:r>
    </w:p>
    <w:p w:rsidR="00EB54AB" w:rsidRPr="001E40FE" w:rsidRDefault="00EB54AB" w:rsidP="00EB54AB">
      <w:pPr>
        <w:autoSpaceDN w:val="0"/>
        <w:ind w:firstLine="680"/>
        <w:jc w:val="both"/>
      </w:pPr>
      <w:r w:rsidRPr="001E40FE">
        <w:t>NLS_CHARACTERSET - AL32UTF8;</w:t>
      </w:r>
    </w:p>
    <w:p w:rsidR="00EB54AB" w:rsidRPr="001E40FE" w:rsidRDefault="00EB54AB" w:rsidP="00EB54AB">
      <w:pPr>
        <w:autoSpaceDN w:val="0"/>
        <w:ind w:firstLine="680"/>
        <w:jc w:val="both"/>
      </w:pPr>
      <w:r w:rsidRPr="001E40FE">
        <w:t>NLS_ NCHAR_CHARACTERSET - UTF8.</w:t>
      </w:r>
    </w:p>
    <w:p w:rsidR="00EB54AB" w:rsidRPr="001E40FE" w:rsidRDefault="00EB54AB" w:rsidP="00EB54AB">
      <w:pPr>
        <w:pStyle w:val="Sraopastraipa"/>
        <w:numPr>
          <w:ilvl w:val="1"/>
          <w:numId w:val="27"/>
        </w:numPr>
        <w:autoSpaceDN w:val="0"/>
        <w:ind w:left="0" w:firstLine="680"/>
        <w:contextualSpacing w:val="0"/>
        <w:jc w:val="both"/>
        <w:rPr>
          <w:rFonts w:cs="Times New Roman"/>
          <w:szCs w:val="24"/>
        </w:rPr>
      </w:pPr>
      <w:r w:rsidRPr="001E40FE">
        <w:rPr>
          <w:rFonts w:cs="Times New Roman"/>
          <w:szCs w:val="24"/>
        </w:rPr>
        <w:t>Aplikacijų serveris:</w:t>
      </w:r>
    </w:p>
    <w:p w:rsidR="00EB54AB" w:rsidRPr="001E40FE" w:rsidRDefault="00EB54AB" w:rsidP="00EB54AB">
      <w:pPr>
        <w:autoSpaceDN w:val="0"/>
        <w:ind w:firstLine="680"/>
        <w:jc w:val="both"/>
      </w:pPr>
      <w:r w:rsidRPr="001E40FE">
        <w:t>operacinė sistema – Red Hat Enterprise Linux Server release 6.3;</w:t>
      </w:r>
    </w:p>
    <w:p w:rsidR="00EB54AB" w:rsidRPr="001E40FE" w:rsidRDefault="00EB54AB" w:rsidP="00EB54AB">
      <w:pPr>
        <w:autoSpaceDN w:val="0"/>
        <w:ind w:firstLine="680"/>
        <w:jc w:val="both"/>
      </w:pPr>
      <w:r w:rsidRPr="001E40FE">
        <w:t>naudojamos Java versijos: jdk1.8.0_151 ir jdk1.8.0_45;</w:t>
      </w:r>
    </w:p>
    <w:p w:rsidR="00EB54AB" w:rsidRPr="001E40FE" w:rsidRDefault="00EB54AB" w:rsidP="00EB54AB">
      <w:pPr>
        <w:autoSpaceDN w:val="0"/>
        <w:ind w:firstLine="680"/>
        <w:jc w:val="both"/>
      </w:pPr>
      <w:r w:rsidRPr="001E40FE">
        <w:t>naudojamos Tomcat versijos: 6 ir 7;</w:t>
      </w:r>
    </w:p>
    <w:p w:rsidR="00EB54AB" w:rsidRPr="001E40FE" w:rsidRDefault="00EB54AB" w:rsidP="00EB54AB">
      <w:pPr>
        <w:autoSpaceDN w:val="0"/>
        <w:ind w:firstLine="680"/>
        <w:jc w:val="both"/>
      </w:pPr>
      <w:r w:rsidRPr="001E40FE">
        <w:t>Tomcat skaičius 9 vnt.</w:t>
      </w:r>
    </w:p>
    <w:p w:rsidR="00EB54AB" w:rsidRPr="001E40FE" w:rsidRDefault="00EB54AB" w:rsidP="00EB54AB">
      <w:pPr>
        <w:pStyle w:val="Sraopastraipa"/>
        <w:numPr>
          <w:ilvl w:val="1"/>
          <w:numId w:val="27"/>
        </w:numPr>
        <w:autoSpaceDN w:val="0"/>
        <w:ind w:left="0" w:firstLine="680"/>
        <w:contextualSpacing w:val="0"/>
        <w:jc w:val="both"/>
        <w:rPr>
          <w:rFonts w:cs="Times New Roman"/>
          <w:szCs w:val="24"/>
        </w:rPr>
      </w:pPr>
      <w:r w:rsidRPr="001E40FE">
        <w:rPr>
          <w:rFonts w:cs="Times New Roman"/>
          <w:szCs w:val="24"/>
        </w:rPr>
        <w:t>Aplikacijų serveriai 4 vnt., kurių konfigūracijos:</w:t>
      </w:r>
    </w:p>
    <w:p w:rsidR="00EB54AB" w:rsidRPr="001E40FE" w:rsidRDefault="00EB54AB" w:rsidP="00EB54AB">
      <w:pPr>
        <w:autoSpaceDN w:val="0"/>
        <w:ind w:firstLine="680"/>
        <w:jc w:val="both"/>
      </w:pPr>
      <w:r w:rsidRPr="001E40FE">
        <w:t>Operacinė sistema – CentOS 7.6.1810;</w:t>
      </w:r>
    </w:p>
    <w:p w:rsidR="00EB54AB" w:rsidRPr="001E40FE" w:rsidRDefault="00EB54AB" w:rsidP="00EB54AB">
      <w:pPr>
        <w:autoSpaceDN w:val="0"/>
        <w:ind w:firstLine="680"/>
        <w:jc w:val="both"/>
      </w:pPr>
      <w:r w:rsidRPr="001E40FE">
        <w:t>Java: jdk1.8.0_231;</w:t>
      </w:r>
    </w:p>
    <w:p w:rsidR="00EB54AB" w:rsidRPr="001E40FE" w:rsidRDefault="00EB54AB" w:rsidP="00EB54AB">
      <w:pPr>
        <w:autoSpaceDN w:val="0"/>
        <w:ind w:firstLine="680"/>
        <w:jc w:val="both"/>
      </w:pPr>
      <w:r w:rsidRPr="001E40FE">
        <w:t>Tomcat 7;</w:t>
      </w:r>
    </w:p>
    <w:p w:rsidR="00EB54AB" w:rsidRPr="001E40FE" w:rsidRDefault="00EB54AB" w:rsidP="00EB54AB">
      <w:pPr>
        <w:autoSpaceDN w:val="0"/>
        <w:ind w:firstLine="680"/>
        <w:jc w:val="both"/>
      </w:pPr>
      <w:r w:rsidRPr="001E40FE">
        <w:t>Tomcat skaičius 1 vnt.</w:t>
      </w:r>
    </w:p>
    <w:p w:rsidR="00EB54AB" w:rsidRPr="001E40FE" w:rsidRDefault="00EB54AB" w:rsidP="00EB54AB">
      <w:pPr>
        <w:pStyle w:val="Sraopastraipa"/>
        <w:numPr>
          <w:ilvl w:val="1"/>
          <w:numId w:val="27"/>
        </w:numPr>
        <w:autoSpaceDN w:val="0"/>
        <w:ind w:left="0" w:firstLine="680"/>
        <w:contextualSpacing w:val="0"/>
        <w:jc w:val="both"/>
        <w:rPr>
          <w:rFonts w:cs="Times New Roman"/>
          <w:szCs w:val="24"/>
        </w:rPr>
      </w:pPr>
      <w:r w:rsidRPr="001E40FE">
        <w:rPr>
          <w:rFonts w:cs="Times New Roman"/>
          <w:szCs w:val="24"/>
        </w:rPr>
        <w:t>Aplikacijų serveris 1 vnt., kurio konfigūracija:</w:t>
      </w:r>
    </w:p>
    <w:p w:rsidR="00EB54AB" w:rsidRPr="001E40FE" w:rsidRDefault="00EB54AB" w:rsidP="00EB54AB">
      <w:pPr>
        <w:autoSpaceDN w:val="0"/>
        <w:ind w:firstLine="680"/>
        <w:jc w:val="both"/>
      </w:pPr>
      <w:r w:rsidRPr="001E40FE">
        <w:t>Operacinė sistema - CentOS 7.6.1810;</w:t>
      </w:r>
    </w:p>
    <w:p w:rsidR="00EB54AB" w:rsidRPr="001E40FE" w:rsidRDefault="00EB54AB" w:rsidP="00EB54AB">
      <w:pPr>
        <w:autoSpaceDN w:val="0"/>
        <w:ind w:firstLine="680"/>
        <w:jc w:val="both"/>
      </w:pPr>
      <w:r w:rsidRPr="001E40FE">
        <w:t>Java: jdk1.8.0_172;</w:t>
      </w:r>
    </w:p>
    <w:p w:rsidR="00EB54AB" w:rsidRPr="001E40FE" w:rsidRDefault="00EB54AB" w:rsidP="00EB54AB">
      <w:pPr>
        <w:autoSpaceDN w:val="0"/>
        <w:ind w:firstLine="680"/>
        <w:jc w:val="both"/>
      </w:pPr>
      <w:r w:rsidRPr="001E40FE">
        <w:t>Tomcat 7;</w:t>
      </w:r>
    </w:p>
    <w:p w:rsidR="00EB54AB" w:rsidRPr="001E40FE" w:rsidRDefault="00EB54AB" w:rsidP="00EB54AB">
      <w:pPr>
        <w:autoSpaceDN w:val="0"/>
        <w:ind w:firstLine="680"/>
        <w:jc w:val="both"/>
      </w:pPr>
      <w:r w:rsidRPr="001E40FE">
        <w:t>Tomcat skaičius 2 vnt.</w:t>
      </w:r>
    </w:p>
    <w:p w:rsidR="00EB54AB" w:rsidRPr="001E40FE" w:rsidRDefault="00EB54AB" w:rsidP="00EB54AB">
      <w:pPr>
        <w:pStyle w:val="Standard"/>
        <w:ind w:firstLine="680"/>
        <w:jc w:val="both"/>
        <w:rPr>
          <w:rFonts w:ascii="Times New Roman" w:hAnsi="Times New Roman" w:cs="Times New Roman"/>
          <w:b/>
        </w:rPr>
      </w:pPr>
    </w:p>
    <w:p w:rsidR="00EB54AB" w:rsidRDefault="00EB54AB" w:rsidP="00EB54AB">
      <w:pPr>
        <w:numPr>
          <w:ilvl w:val="0"/>
          <w:numId w:val="2"/>
        </w:numPr>
        <w:tabs>
          <w:tab w:val="left" w:pos="567"/>
          <w:tab w:val="left" w:pos="851"/>
        </w:tabs>
        <w:suppressAutoHyphens w:val="0"/>
        <w:spacing w:after="160" w:line="276" w:lineRule="auto"/>
        <w:contextualSpacing/>
        <w:jc w:val="center"/>
        <w:textAlignment w:val="auto"/>
        <w:rPr>
          <w:rFonts w:eastAsia="Calibri"/>
          <w:b/>
          <w:kern w:val="0"/>
          <w:lang w:eastAsia="en-US" w:bidi="ar-SA"/>
        </w:rPr>
      </w:pPr>
      <w:r>
        <w:rPr>
          <w:rFonts w:eastAsia="Calibri"/>
          <w:b/>
          <w:kern w:val="0"/>
          <w:lang w:eastAsia="en-US" w:bidi="ar-SA"/>
        </w:rPr>
        <w:t>PIRKIMO OBJEKTAS</w:t>
      </w:r>
    </w:p>
    <w:p w:rsidR="00EB54AB" w:rsidRDefault="00EB54AB" w:rsidP="00EB54AB">
      <w:pPr>
        <w:suppressAutoHyphens w:val="0"/>
        <w:ind w:firstLine="680"/>
        <w:jc w:val="both"/>
        <w:textAlignment w:val="auto"/>
        <w:rPr>
          <w:rFonts w:eastAsia="Calibri"/>
          <w:b/>
          <w:kern w:val="0"/>
          <w:lang w:eastAsia="en-US" w:bidi="ar-SA"/>
        </w:rPr>
      </w:pPr>
    </w:p>
    <w:p w:rsidR="00EB54AB" w:rsidRDefault="00EB54AB" w:rsidP="00EB54AB">
      <w:pPr>
        <w:numPr>
          <w:ilvl w:val="1"/>
          <w:numId w:val="3"/>
        </w:numPr>
        <w:tabs>
          <w:tab w:val="left" w:pos="709"/>
        </w:tabs>
        <w:ind w:left="0" w:firstLine="680"/>
        <w:contextualSpacing/>
        <w:jc w:val="both"/>
        <w:textAlignment w:val="auto"/>
        <w:rPr>
          <w:rFonts w:eastAsia="Calibri"/>
          <w:kern w:val="0"/>
          <w:lang w:eastAsia="en-US" w:bidi="ar-SA"/>
        </w:rPr>
      </w:pPr>
      <w:r>
        <w:rPr>
          <w:rFonts w:eastAsia="Calibri"/>
          <w:kern w:val="0"/>
          <w:lang w:eastAsia="en-US" w:bidi="ar-SA"/>
        </w:rPr>
        <w:t>Pirkimo objektas yra Registro PĮ modifikavimo ir priežiūros paslaugos:</w:t>
      </w:r>
    </w:p>
    <w:p w:rsidR="00EB54AB" w:rsidRPr="00B94ACA" w:rsidRDefault="00EB54AB" w:rsidP="00EB54AB">
      <w:pPr>
        <w:pStyle w:val="Sraopastraipa"/>
        <w:numPr>
          <w:ilvl w:val="2"/>
          <w:numId w:val="3"/>
        </w:numPr>
        <w:tabs>
          <w:tab w:val="left" w:pos="709"/>
        </w:tabs>
        <w:ind w:left="0" w:firstLine="680"/>
        <w:jc w:val="both"/>
        <w:textAlignment w:val="auto"/>
        <w:rPr>
          <w:rFonts w:eastAsia="Calibri"/>
          <w:kern w:val="0"/>
          <w:lang w:eastAsia="en-US" w:bidi="ar-SA"/>
        </w:rPr>
      </w:pPr>
      <w:r w:rsidRPr="00B94ACA">
        <w:rPr>
          <w:rFonts w:eastAsia="Calibri"/>
          <w:kern w:val="0"/>
          <w:lang w:eastAsia="en-US" w:bidi="ar-SA"/>
        </w:rPr>
        <w:lastRenderedPageBreak/>
        <w:t xml:space="preserve">Registro PĮ </w:t>
      </w:r>
      <w:r>
        <w:rPr>
          <w:rFonts w:eastAsia="Calibri"/>
          <w:kern w:val="0"/>
          <w:lang w:eastAsia="en-US" w:bidi="ar-SA"/>
        </w:rPr>
        <w:t xml:space="preserve">kūrimas, </w:t>
      </w:r>
      <w:r w:rsidRPr="00B94ACA">
        <w:rPr>
          <w:rFonts w:eastAsia="Calibri"/>
          <w:kern w:val="0"/>
          <w:lang w:eastAsia="en-US" w:bidi="ar-SA"/>
        </w:rPr>
        <w:t>modifikavimas</w:t>
      </w:r>
      <w:r>
        <w:rPr>
          <w:rFonts w:eastAsia="Calibri"/>
          <w:kern w:val="0"/>
          <w:lang w:eastAsia="en-US" w:bidi="ar-SA"/>
        </w:rPr>
        <w:t>, taisymas</w:t>
      </w:r>
      <w:r w:rsidRPr="00B94ACA">
        <w:rPr>
          <w:rFonts w:eastAsia="Calibri"/>
          <w:kern w:val="0"/>
          <w:lang w:eastAsia="en-US" w:bidi="ar-SA"/>
        </w:rPr>
        <w:t xml:space="preserve"> ir jos įdiegimas atliekamas </w:t>
      </w:r>
      <w:r w:rsidRPr="00A76D6E">
        <w:t>pagal šios Techninės specifikacijos III skyriuje „</w:t>
      </w:r>
      <w:r>
        <w:t>Reikalavimai Registro programinės įrangos modifikavimui ir priežiūrai</w:t>
      </w:r>
      <w:r w:rsidRPr="00A76D6E">
        <w:t xml:space="preserve">“ </w:t>
      </w:r>
      <w:r w:rsidRPr="00324DEC">
        <w:t>1-</w:t>
      </w:r>
      <w:r>
        <w:t>30</w:t>
      </w:r>
      <w:r w:rsidRPr="00324DEC">
        <w:t xml:space="preserve"> </w:t>
      </w:r>
      <w:r>
        <w:t>punktuose</w:t>
      </w:r>
      <w:r w:rsidRPr="00324DEC">
        <w:t xml:space="preserve"> </w:t>
      </w:r>
      <w:r w:rsidRPr="00A76D6E">
        <w:t>nurodytus funkcinius reikalavimus</w:t>
      </w:r>
      <w:r>
        <w:t xml:space="preserve">; </w:t>
      </w:r>
    </w:p>
    <w:p w:rsidR="00EB54AB" w:rsidRDefault="00EB54AB" w:rsidP="00EB54AB">
      <w:pPr>
        <w:pStyle w:val="Sraopastraipa"/>
        <w:numPr>
          <w:ilvl w:val="2"/>
          <w:numId w:val="3"/>
        </w:numPr>
        <w:tabs>
          <w:tab w:val="left" w:pos="709"/>
        </w:tabs>
        <w:ind w:left="0" w:firstLine="680"/>
        <w:jc w:val="both"/>
        <w:textAlignment w:val="auto"/>
      </w:pPr>
      <w:r w:rsidRPr="00B94ACA">
        <w:rPr>
          <w:rFonts w:eastAsia="Calibri"/>
          <w:kern w:val="0"/>
          <w:lang w:eastAsia="en-US" w:bidi="ar-SA"/>
        </w:rPr>
        <w:t>iki</w:t>
      </w:r>
      <w:r w:rsidRPr="00A76D6E">
        <w:t xml:space="preserve"> </w:t>
      </w:r>
      <w:r>
        <w:t>1500 val</w:t>
      </w:r>
      <w:r w:rsidRPr="00B94ACA">
        <w:t xml:space="preserve">. Registro priežiūros </w:t>
      </w:r>
      <w:r w:rsidRPr="00A76D6E">
        <w:t>paslaugų užsakytiems pakeitimams ir patobulinimams atlikti</w:t>
      </w:r>
      <w:r>
        <w:t xml:space="preserve"> pagal</w:t>
      </w:r>
      <w:r w:rsidRPr="00A76D6E">
        <w:t xml:space="preserve"> </w:t>
      </w:r>
      <w:r w:rsidRPr="0083780D">
        <w:t>Techninės specifikacijos III skyriuje „</w:t>
      </w:r>
      <w:r>
        <w:t>Reikalavimai Registro programinės įrangos modifikavimui ir priežiūrai</w:t>
      </w:r>
      <w:r w:rsidRPr="00257461">
        <w:t xml:space="preserve">“ </w:t>
      </w:r>
      <w:r w:rsidRPr="00C91E56">
        <w:t>31</w:t>
      </w:r>
      <w:r w:rsidRPr="00257461">
        <w:t xml:space="preserve"> punkto</w:t>
      </w:r>
      <w:r>
        <w:t xml:space="preserve"> reikalavimus. Perkančioji organizacija neįsipareigoja įsigyti viso nurodyto paslaugų kiekio. </w:t>
      </w:r>
      <w:r w:rsidRPr="00043972">
        <w:t>Paslaugos pagal šios Techninės specifikacijos III skyriuje „</w:t>
      </w:r>
      <w:r>
        <w:t>Reikalavimai Registro programinės įrangos modifikavimui ir priežiūrai“ 31 punkto</w:t>
      </w:r>
      <w:r w:rsidRPr="00043972">
        <w:t xml:space="preserve"> reikalavimą užsakomos esant poreikiui</w:t>
      </w:r>
      <w:r>
        <w:t>;</w:t>
      </w:r>
    </w:p>
    <w:p w:rsidR="00EB54AB" w:rsidRDefault="00EB54AB" w:rsidP="00EB54AB">
      <w:pPr>
        <w:pStyle w:val="Sraopastraipa"/>
        <w:numPr>
          <w:ilvl w:val="2"/>
          <w:numId w:val="3"/>
        </w:numPr>
        <w:tabs>
          <w:tab w:val="left" w:pos="709"/>
        </w:tabs>
        <w:ind w:left="0" w:firstLine="680"/>
        <w:jc w:val="both"/>
        <w:textAlignment w:val="auto"/>
      </w:pPr>
      <w:r w:rsidRPr="00A76D6E">
        <w:t>suteikta garantinė priežiūra sukurtai</w:t>
      </w:r>
      <w:r>
        <w:t xml:space="preserve"> /</w:t>
      </w:r>
      <w:r w:rsidRPr="00A76D6E">
        <w:t xml:space="preserve"> </w:t>
      </w:r>
      <w:r>
        <w:t>pataisytai Registro</w:t>
      </w:r>
      <w:r w:rsidRPr="00A76D6E">
        <w:t xml:space="preserve"> </w:t>
      </w:r>
      <w:r>
        <w:t xml:space="preserve">programinei įrangai </w:t>
      </w:r>
      <w:r w:rsidRPr="00A76D6E">
        <w:t>sutarties laikotarpiu</w:t>
      </w:r>
      <w:r>
        <w:t>.</w:t>
      </w:r>
      <w:r w:rsidRPr="00324DEC">
        <w:t xml:space="preserve"> </w:t>
      </w:r>
    </w:p>
    <w:p w:rsidR="00EB54AB" w:rsidRPr="00A76D6E" w:rsidRDefault="00EB54AB" w:rsidP="00EB54AB">
      <w:pPr>
        <w:ind w:firstLine="680"/>
        <w:jc w:val="both"/>
      </w:pPr>
      <w:r w:rsidRPr="00F956C0">
        <w:t xml:space="preserve">Numatoma, kad </w:t>
      </w:r>
      <w:r>
        <w:t>tiekėjas</w:t>
      </w:r>
      <w:r w:rsidRPr="00F956C0">
        <w:t xml:space="preserve"> </w:t>
      </w:r>
      <w:r>
        <w:t xml:space="preserve">perkančiajai organizacijai </w:t>
      </w:r>
      <w:r w:rsidRPr="00F956C0">
        <w:t xml:space="preserve">taip pat teiks šias su </w:t>
      </w:r>
      <w:r>
        <w:t>Registru</w:t>
      </w:r>
      <w:r w:rsidRPr="00F956C0">
        <w:t xml:space="preserve"> susijusias paslaugas: </w:t>
      </w:r>
    </w:p>
    <w:p w:rsidR="00EB54AB" w:rsidRPr="00902B1C" w:rsidRDefault="00EB54AB" w:rsidP="00EB54AB">
      <w:pPr>
        <w:pStyle w:val="Sraopastraipa"/>
        <w:numPr>
          <w:ilvl w:val="0"/>
          <w:numId w:val="29"/>
        </w:numPr>
        <w:tabs>
          <w:tab w:val="left" w:pos="709"/>
        </w:tabs>
        <w:ind w:left="0" w:firstLine="680"/>
        <w:jc w:val="both"/>
        <w:textAlignment w:val="auto"/>
      </w:pPr>
      <w:r>
        <w:t>sukurtos / pataisytos Registro p</w:t>
      </w:r>
      <w:r w:rsidRPr="00F956C0">
        <w:t>rograminės įrangos versijų atnaujinimas, klaidų taisymas</w:t>
      </w:r>
      <w:r w:rsidRPr="00902B1C">
        <w:t>;</w:t>
      </w:r>
    </w:p>
    <w:p w:rsidR="00EB54AB" w:rsidRDefault="00EB54AB" w:rsidP="00EB54AB">
      <w:pPr>
        <w:pStyle w:val="Sraopastraipa"/>
        <w:numPr>
          <w:ilvl w:val="0"/>
          <w:numId w:val="29"/>
        </w:numPr>
        <w:tabs>
          <w:tab w:val="left" w:pos="709"/>
        </w:tabs>
        <w:ind w:left="0" w:firstLine="680"/>
        <w:jc w:val="both"/>
        <w:textAlignment w:val="auto"/>
      </w:pPr>
      <w:r>
        <w:t>sukurtos / pataisytos Registro</w:t>
      </w:r>
      <w:r w:rsidRPr="00F956C0">
        <w:t xml:space="preserve"> </w:t>
      </w:r>
      <w:r>
        <w:t>programinės įrangos priežiūros</w:t>
      </w:r>
      <w:r w:rsidRPr="00F956C0">
        <w:t xml:space="preserve"> paslaugos, t.</w:t>
      </w:r>
      <w:r>
        <w:t xml:space="preserve"> </w:t>
      </w:r>
      <w:r w:rsidRPr="00F956C0">
        <w:t xml:space="preserve">y. konsultacijos telefonu, elektroniniu paštu, Pagalbos tarnybos (angl. </w:t>
      </w:r>
      <w:r w:rsidRPr="00FD5E76">
        <w:rPr>
          <w:i/>
        </w:rPr>
        <w:t>Help Desk</w:t>
      </w:r>
      <w:r w:rsidRPr="00F956C0">
        <w:t xml:space="preserve">) pagalba ar konsultacijos </w:t>
      </w:r>
      <w:r>
        <w:t>Registro</w:t>
      </w:r>
      <w:r w:rsidRPr="00F956C0">
        <w:t xml:space="preserve"> įdiegimo vietoje. Konsultacijos turi būti teikiamos darbo dienomis nuo 7.30 val. iki 18.00 val.</w:t>
      </w:r>
    </w:p>
    <w:p w:rsidR="00EB54AB" w:rsidRDefault="00EB54AB" w:rsidP="00EB54AB">
      <w:pPr>
        <w:pStyle w:val="Sraopastraipa"/>
        <w:numPr>
          <w:ilvl w:val="1"/>
          <w:numId w:val="3"/>
        </w:numPr>
        <w:tabs>
          <w:tab w:val="left" w:pos="709"/>
        </w:tabs>
        <w:ind w:left="0" w:firstLine="680"/>
        <w:jc w:val="both"/>
        <w:textAlignment w:val="auto"/>
        <w:rPr>
          <w:rFonts w:eastAsia="Calibri"/>
          <w:kern w:val="0"/>
          <w:lang w:eastAsia="en-US" w:bidi="ar-SA"/>
        </w:rPr>
      </w:pPr>
      <w:r>
        <w:rPr>
          <w:rFonts w:eastAsia="Calibri"/>
          <w:kern w:val="0"/>
          <w:lang w:eastAsia="en-US" w:bidi="ar-SA"/>
        </w:rPr>
        <w:t>Pirkimo užduočiai įvykdyti tiekėjas privalės:</w:t>
      </w:r>
    </w:p>
    <w:p w:rsidR="00EB54AB" w:rsidRDefault="00EB54AB" w:rsidP="00EB54AB">
      <w:pPr>
        <w:numPr>
          <w:ilvl w:val="2"/>
          <w:numId w:val="3"/>
        </w:numPr>
        <w:ind w:left="0" w:firstLine="680"/>
        <w:contextualSpacing/>
        <w:jc w:val="both"/>
        <w:textAlignment w:val="auto"/>
        <w:rPr>
          <w:rFonts w:eastAsia="Calibri"/>
          <w:kern w:val="0"/>
          <w:lang w:eastAsia="en-US" w:bidi="ar-SA"/>
        </w:rPr>
      </w:pPr>
      <w:r>
        <w:rPr>
          <w:rFonts w:eastAsia="Calibri"/>
        </w:rPr>
        <w:t>atlikti detalią analizę ir detaliai specifikuoti III skyriuje „</w:t>
      </w:r>
      <w:r>
        <w:t>Reikalavimai Registro programinės įrangos modifikavimui ir priežiūrai</w:t>
      </w:r>
      <w:r>
        <w:rPr>
          <w:rFonts w:eastAsia="Calibri"/>
        </w:rPr>
        <w:t>“ 1</w:t>
      </w:r>
      <w:r w:rsidRPr="00A34D07">
        <w:rPr>
          <w:rFonts w:eastAsia="Calibri"/>
        </w:rPr>
        <w:t>-</w:t>
      </w:r>
      <w:r w:rsidRPr="00924249">
        <w:rPr>
          <w:rFonts w:eastAsia="Calibri"/>
        </w:rPr>
        <w:t>3</w:t>
      </w:r>
      <w:r w:rsidRPr="00C91E56">
        <w:rPr>
          <w:rFonts w:eastAsia="Calibri"/>
        </w:rPr>
        <w:t>0</w:t>
      </w:r>
      <w:r w:rsidRPr="00B94ACA">
        <w:rPr>
          <w:rFonts w:eastAsia="Calibri"/>
          <w:color w:val="FF0000"/>
        </w:rPr>
        <w:t xml:space="preserve"> </w:t>
      </w:r>
      <w:r>
        <w:rPr>
          <w:rFonts w:eastAsia="Calibri"/>
        </w:rPr>
        <w:t xml:space="preserve">punktuose nurodytus reikalavimus. </w:t>
      </w:r>
      <w:r w:rsidRPr="00F956C0">
        <w:t xml:space="preserve">Analizės ir projektavimo rezultatus dokumentuoti atnaujinant esamą </w:t>
      </w:r>
      <w:r>
        <w:t>Registro</w:t>
      </w:r>
      <w:r w:rsidRPr="00F956C0">
        <w:t xml:space="preserve"> dokumentaciją;</w:t>
      </w:r>
    </w:p>
    <w:p w:rsidR="00EB54AB" w:rsidRDefault="00EB54AB" w:rsidP="00EB54AB">
      <w:pPr>
        <w:numPr>
          <w:ilvl w:val="2"/>
          <w:numId w:val="3"/>
        </w:numPr>
        <w:ind w:left="0" w:firstLine="680"/>
        <w:contextualSpacing/>
        <w:jc w:val="both"/>
        <w:textAlignment w:val="auto"/>
        <w:rPr>
          <w:rFonts w:eastAsia="Calibri"/>
          <w:kern w:val="0"/>
          <w:lang w:eastAsia="en-US" w:bidi="ar-SA"/>
        </w:rPr>
      </w:pPr>
      <w:r>
        <w:rPr>
          <w:rFonts w:eastAsia="Calibri"/>
          <w:kern w:val="0"/>
          <w:lang w:eastAsia="en-US" w:bidi="ar-SA"/>
        </w:rPr>
        <w:t>sukurti, modifikuoti, pataisyti esamą Registro PĮ pagal III skyriuje „</w:t>
      </w:r>
      <w:r>
        <w:t>Reikalavimai Registro programinės įrangos modifikavimui ir priežiūrai</w:t>
      </w:r>
      <w:r>
        <w:rPr>
          <w:rFonts w:eastAsia="Calibri"/>
        </w:rPr>
        <w:t xml:space="preserve">“ </w:t>
      </w:r>
      <w:r>
        <w:rPr>
          <w:rFonts w:eastAsia="Calibri"/>
          <w:kern w:val="0"/>
          <w:lang w:eastAsia="en-US" w:bidi="ar-SA"/>
        </w:rPr>
        <w:t>nurodytus reikalavimus;</w:t>
      </w:r>
    </w:p>
    <w:p w:rsidR="00EB54AB" w:rsidRDefault="00EB54AB" w:rsidP="00EB54AB">
      <w:pPr>
        <w:numPr>
          <w:ilvl w:val="2"/>
          <w:numId w:val="3"/>
        </w:numPr>
        <w:ind w:left="0" w:firstLine="680"/>
        <w:contextualSpacing/>
        <w:jc w:val="both"/>
        <w:textAlignment w:val="auto"/>
        <w:rPr>
          <w:rFonts w:eastAsia="Calibri"/>
          <w:kern w:val="0"/>
          <w:lang w:eastAsia="en-US" w:bidi="ar-SA"/>
        </w:rPr>
      </w:pPr>
      <w:r>
        <w:rPr>
          <w:rFonts w:eastAsia="Calibri"/>
          <w:kern w:val="0"/>
          <w:lang w:eastAsia="en-US" w:bidi="ar-SA"/>
        </w:rPr>
        <w:t>sukurtą, modifikuotą, pataisytą Registro PĮ įdiegti į IRD testinę aplinką ir dalyvauti testuojant;</w:t>
      </w:r>
    </w:p>
    <w:p w:rsidR="00EB54AB" w:rsidRDefault="00EB54AB" w:rsidP="00EB54AB">
      <w:pPr>
        <w:numPr>
          <w:ilvl w:val="2"/>
          <w:numId w:val="3"/>
        </w:numPr>
        <w:ind w:left="0" w:firstLine="680"/>
        <w:contextualSpacing/>
        <w:jc w:val="both"/>
        <w:textAlignment w:val="auto"/>
        <w:rPr>
          <w:rFonts w:eastAsia="Calibri"/>
          <w:kern w:val="0"/>
          <w:lang w:eastAsia="en-US" w:bidi="ar-SA"/>
        </w:rPr>
      </w:pPr>
      <w:r>
        <w:rPr>
          <w:rFonts w:eastAsia="Calibri"/>
          <w:kern w:val="0"/>
          <w:lang w:eastAsia="en-US" w:bidi="ar-SA"/>
        </w:rPr>
        <w:t>sukurtą, modifikuotą, pataisytą ir ištestuotą Registro PĮ įdiegti į IRD darbinę aplinką;</w:t>
      </w:r>
    </w:p>
    <w:p w:rsidR="00EB54AB" w:rsidRDefault="00EB54AB" w:rsidP="00EB54AB">
      <w:pPr>
        <w:numPr>
          <w:ilvl w:val="2"/>
          <w:numId w:val="3"/>
        </w:numPr>
        <w:ind w:left="0" w:firstLine="680"/>
        <w:contextualSpacing/>
        <w:jc w:val="both"/>
        <w:textAlignment w:val="auto"/>
        <w:rPr>
          <w:rFonts w:eastAsia="Calibri"/>
          <w:kern w:val="0"/>
          <w:lang w:eastAsia="en-US" w:bidi="ar-SA"/>
        </w:rPr>
      </w:pPr>
      <w:r>
        <w:rPr>
          <w:rFonts w:eastAsia="Calibri"/>
          <w:kern w:val="0"/>
          <w:lang w:eastAsia="en-US" w:bidi="ar-SA"/>
        </w:rPr>
        <w:t>pateikti atnaujintą Registro techninę dokumentaciją;</w:t>
      </w:r>
    </w:p>
    <w:p w:rsidR="00EB54AB" w:rsidRDefault="00EB54AB" w:rsidP="00EB54AB">
      <w:pPr>
        <w:numPr>
          <w:ilvl w:val="2"/>
          <w:numId w:val="3"/>
        </w:numPr>
        <w:ind w:left="0" w:firstLine="680"/>
        <w:contextualSpacing/>
        <w:jc w:val="both"/>
        <w:textAlignment w:val="auto"/>
        <w:rPr>
          <w:rFonts w:eastAsia="Calibri"/>
          <w:kern w:val="0"/>
          <w:lang w:eastAsia="en-US" w:bidi="ar-SA"/>
        </w:rPr>
      </w:pPr>
      <w:r>
        <w:rPr>
          <w:rFonts w:eastAsia="Calibri"/>
          <w:kern w:val="0"/>
          <w:lang w:eastAsia="en-US" w:bidi="ar-SA"/>
        </w:rPr>
        <w:t>teikti Registro PĮ pakeitimams garantinės priežiūros paslaugą;</w:t>
      </w:r>
    </w:p>
    <w:p w:rsidR="00EB54AB" w:rsidRDefault="00EB54AB" w:rsidP="00EB54AB">
      <w:pPr>
        <w:numPr>
          <w:ilvl w:val="2"/>
          <w:numId w:val="3"/>
        </w:numPr>
        <w:ind w:left="0" w:firstLine="680"/>
        <w:contextualSpacing/>
        <w:jc w:val="both"/>
        <w:textAlignment w:val="auto"/>
        <w:rPr>
          <w:rFonts w:eastAsia="Calibri"/>
          <w:kern w:val="0"/>
          <w:lang w:eastAsia="en-US" w:bidi="ar-SA"/>
        </w:rPr>
      </w:pPr>
      <w:r>
        <w:t>p</w:t>
      </w:r>
      <w:r w:rsidRPr="00254F1E">
        <w:t xml:space="preserve">apildomo funkcionalumo realizavimo ar keitimo atvejais pagal </w:t>
      </w:r>
      <w:r>
        <w:t>perkančiosios organizacijos</w:t>
      </w:r>
      <w:r w:rsidRPr="00254F1E">
        <w:t xml:space="preserve"> užsakymus turi būti realizuojamas pilnas </w:t>
      </w:r>
      <w:r>
        <w:t xml:space="preserve">Registro </w:t>
      </w:r>
      <w:r w:rsidRPr="00254F1E">
        <w:t>PĮ gamybos ir diegimo ciklas (gamyba, testavimas, diegimas, dokumentacijos atnaujinimas ir pan.)</w:t>
      </w:r>
      <w:r>
        <w:t>;</w:t>
      </w:r>
    </w:p>
    <w:p w:rsidR="00EB54AB" w:rsidRDefault="00EB54AB" w:rsidP="00EB54AB">
      <w:pPr>
        <w:numPr>
          <w:ilvl w:val="2"/>
          <w:numId w:val="3"/>
        </w:numPr>
        <w:ind w:left="0" w:firstLine="680"/>
        <w:contextualSpacing/>
        <w:jc w:val="both"/>
        <w:textAlignment w:val="auto"/>
        <w:rPr>
          <w:rFonts w:eastAsia="Calibri"/>
          <w:kern w:val="0"/>
          <w:lang w:eastAsia="en-US" w:bidi="ar-SA"/>
        </w:rPr>
      </w:pPr>
      <w:r>
        <w:t>t</w:t>
      </w:r>
      <w:r w:rsidRPr="002D33BF">
        <w:t>i</w:t>
      </w:r>
      <w:r>
        <w:t>e</w:t>
      </w:r>
      <w:r w:rsidRPr="002D33BF">
        <w:t>kėjas privalo užtikrinti paslaugų atitiktį organizaciniams ir techniniams kibernetinio saugumo reikalavimams.</w:t>
      </w:r>
    </w:p>
    <w:p w:rsidR="00EB54AB" w:rsidRDefault="00EB54AB" w:rsidP="00EB54AB">
      <w:pPr>
        <w:pStyle w:val="Sraopastraipa"/>
        <w:numPr>
          <w:ilvl w:val="1"/>
          <w:numId w:val="3"/>
        </w:numPr>
        <w:tabs>
          <w:tab w:val="left" w:pos="709"/>
        </w:tabs>
        <w:ind w:left="0" w:firstLine="680"/>
        <w:jc w:val="both"/>
        <w:textAlignment w:val="auto"/>
        <w:rPr>
          <w:rFonts w:eastAsia="Calibri"/>
          <w:kern w:val="0"/>
          <w:lang w:eastAsia="en-US" w:bidi="ar-SA"/>
        </w:rPr>
      </w:pPr>
      <w:r>
        <w:rPr>
          <w:rFonts w:eastAsia="Calibri"/>
          <w:kern w:val="0"/>
          <w:lang w:eastAsia="en-US" w:bidi="ar-SA"/>
        </w:rPr>
        <w:t xml:space="preserve">Paslaugos teikiamos </w:t>
      </w:r>
      <w:r w:rsidRPr="00C91B10">
        <w:rPr>
          <w:rFonts w:eastAsia="Calibri"/>
          <w:kern w:val="0"/>
          <w:lang w:eastAsia="en-US" w:bidi="ar-SA"/>
        </w:rPr>
        <w:t xml:space="preserve">pagal Paslaugų teikimo grafiką, </w:t>
      </w:r>
      <w:r w:rsidRPr="001A1C24">
        <w:rPr>
          <w:rFonts w:eastAsia="Calibri"/>
          <w:kern w:val="0"/>
          <w:lang w:eastAsia="en-US" w:bidi="ar-SA"/>
        </w:rPr>
        <w:t xml:space="preserve">kuris </w:t>
      </w:r>
      <w:r>
        <w:rPr>
          <w:rFonts w:eastAsia="Calibri"/>
          <w:kern w:val="0"/>
          <w:lang w:eastAsia="en-US" w:bidi="ar-SA"/>
        </w:rPr>
        <w:t>tiekėjo</w:t>
      </w:r>
      <w:r w:rsidRPr="001A1C24">
        <w:rPr>
          <w:rFonts w:eastAsia="Calibri"/>
          <w:kern w:val="0"/>
          <w:lang w:eastAsia="en-US" w:bidi="ar-SA"/>
        </w:rPr>
        <w:t xml:space="preserve"> suderinamas su Perkančiąja organizacija </w:t>
      </w:r>
      <w:r w:rsidRPr="001A1C24">
        <w:rPr>
          <w:rFonts w:eastAsia="Calibri"/>
        </w:rPr>
        <w:t>ir pasirašomas per 10 (dešimt) darbo dienų nuo pirkimo sutarties įsigaliojimo dienos</w:t>
      </w:r>
      <w:r w:rsidRPr="001A1C24">
        <w:rPr>
          <w:rFonts w:eastAsia="Calibri"/>
          <w:kern w:val="0"/>
          <w:lang w:eastAsia="en-US" w:bidi="ar-SA"/>
        </w:rPr>
        <w:t>.</w:t>
      </w:r>
      <w:r w:rsidRPr="00726A3E">
        <w:rPr>
          <w:rFonts w:eastAsia="Calibri"/>
        </w:rPr>
        <w:t xml:space="preserve"> </w:t>
      </w:r>
    </w:p>
    <w:p w:rsidR="00EB54AB" w:rsidRDefault="00EB54AB" w:rsidP="00EB54AB">
      <w:pPr>
        <w:spacing w:line="252" w:lineRule="auto"/>
        <w:contextualSpacing/>
        <w:jc w:val="both"/>
        <w:textAlignment w:val="auto"/>
        <w:rPr>
          <w:rFonts w:eastAsia="Calibri"/>
          <w:kern w:val="0"/>
          <w:lang w:eastAsia="en-US" w:bidi="ar-SA"/>
        </w:rPr>
      </w:pPr>
    </w:p>
    <w:p w:rsidR="00EB54AB" w:rsidRDefault="00EB54AB" w:rsidP="00EB54AB">
      <w:pPr>
        <w:keepNext/>
        <w:keepLines/>
        <w:numPr>
          <w:ilvl w:val="0"/>
          <w:numId w:val="2"/>
        </w:numPr>
        <w:suppressAutoHyphens w:val="0"/>
        <w:spacing w:after="160" w:line="252" w:lineRule="auto"/>
        <w:contextualSpacing/>
        <w:jc w:val="center"/>
        <w:textAlignment w:val="auto"/>
        <w:outlineLvl w:val="3"/>
        <w:rPr>
          <w:b/>
          <w:bCs/>
          <w:kern w:val="0"/>
          <w:lang w:eastAsia="en-US" w:bidi="ar-SA"/>
        </w:rPr>
      </w:pPr>
      <w:r>
        <w:rPr>
          <w:b/>
          <w:bCs/>
          <w:kern w:val="0"/>
          <w:lang w:eastAsia="en-US" w:bidi="ar-SA"/>
        </w:rPr>
        <w:t xml:space="preserve">REIKALAVIMAI REGISTRO </w:t>
      </w:r>
      <w:r w:rsidRPr="00243BCC">
        <w:rPr>
          <w:b/>
          <w:bCs/>
          <w:kern w:val="0"/>
          <w:lang w:eastAsia="en-US" w:bidi="ar-SA"/>
        </w:rPr>
        <w:t xml:space="preserve">PROGRAMINĖS ĮRANGOS MODIFIKAVIMUI IR PRIEŽIŪRAI </w:t>
      </w:r>
    </w:p>
    <w:p w:rsidR="00EB54AB" w:rsidRDefault="00EB54AB" w:rsidP="00EB54AB">
      <w:pPr>
        <w:tabs>
          <w:tab w:val="left" w:pos="567"/>
          <w:tab w:val="left" w:pos="851"/>
          <w:tab w:val="left" w:pos="1134"/>
          <w:tab w:val="left" w:pos="1418"/>
        </w:tabs>
        <w:suppressAutoHyphens w:val="0"/>
        <w:spacing w:after="160" w:line="252" w:lineRule="auto"/>
        <w:ind w:left="567"/>
        <w:contextualSpacing/>
        <w:jc w:val="both"/>
        <w:textAlignment w:val="auto"/>
        <w:rPr>
          <w:rFonts w:eastAsia="Calibri"/>
          <w:kern w:val="0"/>
          <w:lang w:eastAsia="en-US" w:bidi="ar-SA"/>
        </w:rPr>
      </w:pPr>
    </w:p>
    <w:tbl>
      <w:tblPr>
        <w:tblW w:w="9612" w:type="dxa"/>
        <w:tblInd w:w="24" w:type="dxa"/>
        <w:tblCellMar>
          <w:top w:w="55" w:type="dxa"/>
          <w:left w:w="40" w:type="dxa"/>
          <w:bottom w:w="55" w:type="dxa"/>
          <w:right w:w="55" w:type="dxa"/>
        </w:tblCellMar>
        <w:tblLook w:val="0000" w:firstRow="0" w:lastRow="0" w:firstColumn="0" w:lastColumn="0" w:noHBand="0" w:noVBand="0"/>
      </w:tblPr>
      <w:tblGrid>
        <w:gridCol w:w="540"/>
        <w:gridCol w:w="3686"/>
        <w:gridCol w:w="5386"/>
      </w:tblGrid>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Default="00EB54AB" w:rsidP="0033464C">
            <w:pPr>
              <w:pStyle w:val="Standard"/>
              <w:widowControl w:val="0"/>
              <w:jc w:val="center"/>
            </w:pPr>
            <w:r>
              <w:t>Nr.</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center"/>
            </w:pPr>
            <w:r>
              <w:rPr>
                <w:rFonts w:ascii="Times New Roman" w:hAnsi="Times New Roman" w:cs="Mangal"/>
                <w:b/>
                <w:bCs/>
                <w:color w:val="00000A"/>
              </w:rPr>
              <w:t>Reikalavimas (</w:t>
            </w:r>
            <w:r>
              <w:rPr>
                <w:rFonts w:ascii="Times New Roman" w:hAnsi="Times New Roman" w:cs="Mangal"/>
                <w:b/>
                <w:bCs/>
                <w:i/>
                <w:color w:val="00000A"/>
              </w:rPr>
              <w:t>trumpas pavadinimas</w:t>
            </w:r>
            <w:r>
              <w:rPr>
                <w:rFonts w:ascii="Times New Roman" w:hAnsi="Times New Roman" w:cs="Mangal"/>
                <w:b/>
                <w:bCs/>
                <w:color w:val="00000A"/>
              </w:rPr>
              <w:t>)</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center"/>
            </w:pPr>
            <w:r>
              <w:rPr>
                <w:rFonts w:ascii="Times New Roman" w:hAnsi="Times New Roman" w:cs="Mangal"/>
                <w:b/>
                <w:bCs/>
                <w:color w:val="00000A"/>
              </w:rPr>
              <w:t>Reikalavimo aprašymas</w:t>
            </w:r>
          </w:p>
        </w:tc>
      </w:tr>
      <w:tr w:rsidR="00EB54AB" w:rsidTr="0033464C">
        <w:tc>
          <w:tcPr>
            <w:tcW w:w="540" w:type="dxa"/>
            <w:tcBorders>
              <w:left w:val="single" w:sz="2" w:space="0" w:color="000001"/>
              <w:bottom w:val="single" w:sz="2" w:space="0" w:color="000001"/>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Požymio, kad AN registruojamas be asmens duomenų sukūrimas ir jo naudojimas</w:t>
            </w:r>
          </w:p>
        </w:tc>
        <w:tc>
          <w:tcPr>
            <w:tcW w:w="5386" w:type="dxa"/>
            <w:tcBorders>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both"/>
            </w:pPr>
            <w:r>
              <w:rPr>
                <w:rFonts w:ascii="Times New Roman" w:hAnsi="Times New Roman"/>
              </w:rPr>
              <w:t xml:space="preserve">ANR numatyti galimybę pažymėti, kad AN registruojamas be asmens duomenų. Pažymėjus šį mygtuką, leistų išsaugoti AN be asmens duomenų. ANR šis mygtukas (pažymintis, suvedimą be asmens duomenų) turi būti aktyvus tik tada, kol nėra galiojančio procesinio sprendimo: surašomas protokolas, surašomas protokolas su nurodymu, priimamas </w:t>
            </w:r>
            <w:r>
              <w:rPr>
                <w:rFonts w:ascii="Times New Roman" w:hAnsi="Times New Roman"/>
              </w:rPr>
              <w:lastRenderedPageBreak/>
              <w:t>nutarimas ir priimamas nutarimas, kai nesurašomas protokolas. Papildyti universalią paiešką paieškos kriterijumi „užregistruota teisenų be asmens duomenų“.</w:t>
            </w:r>
          </w:p>
        </w:tc>
      </w:tr>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widowControl w:val="0"/>
              <w:jc w:val="both"/>
            </w:pPr>
            <w:r>
              <w:rPr>
                <w:color w:val="000000"/>
              </w:rPr>
              <w:t>Sukurti funkcionalumą, pasirinkimui kurį iš suvestų adresų ar el. pašto adresų naudoti procesiniuose dokumentuose ir jais išsiųsti dokumentus</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both"/>
            </w:pPr>
            <w:r>
              <w:rPr>
                <w:rFonts w:ascii="Times New Roman" w:hAnsi="Times New Roman"/>
              </w:rPr>
              <w:t>ANR Asmens lange (ne tik ANR, bet ir PFS užduoties lange, kur reikia įvesti asmens duomenis) sukurti galimybę pasirinkti kurį adresą (deklaruotos arba kitos asmens gyvenamosios vietos) naudoti perkeliant jį į formuojamus dokumentus (pvz. administracinio nusižengimo protokolą (su ar be nurodymo) ar nutarimą administracinio nusižengimo byloje ir pan.) ir siunčiant procesinius dokumentus per e. pristatymo sistemą.</w:t>
            </w:r>
          </w:p>
          <w:p w:rsidR="00EB54AB" w:rsidRDefault="00EB54AB" w:rsidP="0033464C">
            <w:pPr>
              <w:pStyle w:val="Standard"/>
              <w:widowControl w:val="0"/>
              <w:jc w:val="both"/>
            </w:pPr>
            <w:r>
              <w:rPr>
                <w:rFonts w:ascii="Times New Roman" w:hAnsi="Times New Roman"/>
              </w:rPr>
              <w:t>Papildyti ANR Asmens langą nauju „elektroninio pašto adresas“ lauku. Kai ANR automatiniu būdu gauna el. pašto adresą iš kitų sistemų, vartotojas jo pakoreguoti ar ištrinti negali, turi būti galimybė užpildyti naujai sukurtą lauką. Siunčiant dokumentus turi būti galimybė pasirinkti kuriuo elektroninio pašto adresu siųsti, jeigu užpildyti abu.</w:t>
            </w:r>
          </w:p>
        </w:tc>
      </w:tr>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Tobulinti duomenų, naudojimą iš EUCARIS</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both"/>
            </w:pPr>
            <w:r>
              <w:rPr>
                <w:rFonts w:ascii="Times New Roman" w:hAnsi="Times New Roman"/>
              </w:rPr>
              <w:t>Automatiniu ir neautomatiniu būdu atlikus paiešką ANR PFS lange EUCARIS dėl Europos Sąjungos transporto priemonių turi būti gaunama ir atvaizduojama informacija apie TP kategoriją.</w:t>
            </w:r>
          </w:p>
          <w:p w:rsidR="00EB54AB" w:rsidRDefault="00EB54AB" w:rsidP="0033464C">
            <w:pPr>
              <w:pStyle w:val="Standard"/>
              <w:widowControl w:val="0"/>
              <w:jc w:val="both"/>
            </w:pPr>
          </w:p>
        </w:tc>
      </w:tr>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Patobulinti KET duomenų protokolo formavimą</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both"/>
            </w:pPr>
            <w:r>
              <w:rPr>
                <w:rFonts w:ascii="Times New Roman" w:hAnsi="Times New Roman"/>
              </w:rPr>
              <w:t>Kai iš ANR PFS registruojamas ANR ROIK, turi būti galimybė ANR (ne ANR PFS) suformuoti KET duomenų protokolą. Jis turi išsisaugoti prie ANR ROIK.</w:t>
            </w:r>
          </w:p>
          <w:p w:rsidR="00EB54AB" w:rsidRDefault="00EB54AB" w:rsidP="0033464C">
            <w:pPr>
              <w:pStyle w:val="Standard"/>
              <w:widowControl w:val="0"/>
              <w:jc w:val="both"/>
            </w:pPr>
            <w:r>
              <w:rPr>
                <w:rFonts w:ascii="Times New Roman" w:hAnsi="Times New Roman"/>
              </w:rPr>
              <w:t>Pakeisti KET duomenų protokolo formavimo logiką ir numatyti, kad jį formuojant nebūtų privalomi asmens duomenys. Gali būti suformuojamas tik kai yra užfiksuotas nusižengimas ir jame tada atvaizduojami tik nusižengimo duomenys ir nuotrauka.</w:t>
            </w:r>
          </w:p>
        </w:tc>
      </w:tr>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Pr="00AD4F43"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Papildyti esamą „Šaukimo“ dokumentą ir sukurti naują dokumentą „Tarnybinis pranešimas“</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Papildyti Formuojamų dokumentų sąrašą „Tarnybinis pranešimas“. Sukurti naują dokumento formą, kurią visą pildo vartotojas. Patobulinti šiuo metu formuojamo šaukimo funkcionalumą, numatant šiuo metu esančiame šaukime pasirinkti reikiamus informacijos atvaizdavimo variantus. Forma bus pateikta analizės metu (atvejai, kai negalioja vairuotojo pažymėjimas arba neturi teisės vairuoti, dėl asmens kuris vairavo duomenų pateikimo ir t.t.).</w:t>
            </w:r>
          </w:p>
        </w:tc>
      </w:tr>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Papildyti universalią paiešką naujais paieškos kriterijais</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both"/>
            </w:pPr>
            <w:r>
              <w:rPr>
                <w:rFonts w:ascii="Times New Roman" w:hAnsi="Times New Roman"/>
              </w:rPr>
              <w:t>Papildyti universaliąją paiešką šiais kriterijais:</w:t>
            </w:r>
          </w:p>
          <w:p w:rsidR="00EB54AB" w:rsidRDefault="00EB54AB" w:rsidP="0033464C">
            <w:pPr>
              <w:pStyle w:val="Standard"/>
              <w:widowControl w:val="0"/>
              <w:numPr>
                <w:ilvl w:val="0"/>
                <w:numId w:val="5"/>
              </w:numPr>
              <w:ind w:left="0" w:firstLine="0"/>
              <w:jc w:val="both"/>
            </w:pPr>
            <w:r>
              <w:rPr>
                <w:rFonts w:ascii="Times New Roman" w:hAnsi="Times New Roman"/>
              </w:rPr>
              <w:t>„Procesinio sprendimo priėmimo data“. Turi surasti tai datai priimtus procesinius sprendimus.</w:t>
            </w:r>
          </w:p>
          <w:p w:rsidR="00EB54AB" w:rsidRDefault="00EB54AB" w:rsidP="0033464C">
            <w:pPr>
              <w:pStyle w:val="Standard"/>
              <w:widowControl w:val="0"/>
              <w:numPr>
                <w:ilvl w:val="0"/>
                <w:numId w:val="5"/>
              </w:numPr>
              <w:ind w:left="0" w:firstLine="0"/>
              <w:jc w:val="both"/>
            </w:pPr>
            <w:r>
              <w:rPr>
                <w:rFonts w:ascii="Times New Roman" w:hAnsi="Times New Roman"/>
              </w:rPr>
              <w:t>Paieška pagal institucijas ar daugiau nei vieną įstaigą.</w:t>
            </w:r>
          </w:p>
          <w:p w:rsidR="00EB54AB" w:rsidRDefault="00EB54AB" w:rsidP="0033464C">
            <w:pPr>
              <w:pStyle w:val="Standard"/>
              <w:widowControl w:val="0"/>
              <w:numPr>
                <w:ilvl w:val="0"/>
                <w:numId w:val="5"/>
              </w:numPr>
              <w:ind w:left="0" w:firstLine="0"/>
              <w:jc w:val="both"/>
            </w:pPr>
            <w:r>
              <w:rPr>
                <w:rFonts w:ascii="Times New Roman" w:hAnsi="Times New Roman"/>
              </w:rPr>
              <w:t>Pagal procesinį sprendimą priėmusį pareigūną (įstaigą).</w:t>
            </w:r>
          </w:p>
        </w:tc>
      </w:tr>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 xml:space="preserve">ANR turi nereaguoti į pakartotinus </w:t>
            </w:r>
            <w:r>
              <w:rPr>
                <w:rFonts w:ascii="Times New Roman" w:hAnsi="Times New Roman"/>
              </w:rPr>
              <w:lastRenderedPageBreak/>
              <w:t>mygtukų „Patvirtinti“ ar „Saugoti“ paspaudimus</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both"/>
            </w:pPr>
            <w:r>
              <w:rPr>
                <w:rFonts w:ascii="Times New Roman" w:hAnsi="Times New Roman"/>
              </w:rPr>
              <w:lastRenderedPageBreak/>
              <w:t xml:space="preserve">ANR turi užtikrinti, kad vartotojas, daugiau nei kartą </w:t>
            </w:r>
            <w:r>
              <w:rPr>
                <w:rFonts w:ascii="Times New Roman" w:hAnsi="Times New Roman"/>
              </w:rPr>
              <w:lastRenderedPageBreak/>
              <w:t>nepaspaustų (sistema nereaguotų į pakartotinus paspaudimus) mygtuko „Patvirtinti“ ar „Saugoti“.</w:t>
            </w:r>
          </w:p>
        </w:tc>
      </w:tr>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ANR neturi leisti koreguoti asmens duomenų</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both"/>
            </w:pPr>
            <w:r>
              <w:rPr>
                <w:rFonts w:ascii="Times New Roman" w:hAnsi="Times New Roman"/>
              </w:rPr>
              <w:t>Negalima koreguoti asmens duomenų, jeigu yra priimtas (galiojantis) procesinis sprendimas (vien tik pripažinus negaliojančiu dokumentą, ANR neturi leisti koreguoti asmens duomenų). Asmens duomenis, galiojančiuose procesiniuose sprendimuose, koreguoti galėtų tik ANR administratoriai – turintys, naujai sukurtą teisę.</w:t>
            </w:r>
          </w:p>
          <w:p w:rsidR="00EB54AB" w:rsidRDefault="00EB54AB" w:rsidP="0033464C">
            <w:pPr>
              <w:pStyle w:val="Standard"/>
              <w:widowControl w:val="0"/>
              <w:jc w:val="both"/>
            </w:pPr>
            <w:r>
              <w:rPr>
                <w:rFonts w:ascii="Times New Roman" w:hAnsi="Times New Roman"/>
              </w:rPr>
              <w:t>Paaiškinimas: kai pareigūnai pradžioje „pripažįsta administracinį nurodymą“ negaliojančiu, suveda kito asmens duomenis ir bandant išsaugoti duomenis jie išsisaugo. Tačiau vėliau MAIS grąžina klaidą. Kai ANR administratorius pakoreguoja asmens duomenis ir rankiniu būdu išsiunčia pranešimus (</w:t>
            </w:r>
            <w:r w:rsidRPr="00B80728">
              <w:rPr>
                <w:rFonts w:ascii="Times New Roman" w:hAnsi="Times New Roman"/>
              </w:rPr>
              <w:t xml:space="preserve">spaudžiant mygtuką „Atšaukti ir persiųsti“, tai </w:t>
            </w:r>
            <w:r w:rsidRPr="00B80728">
              <w:rPr>
                <w:rFonts w:ascii="Times New Roman" w:hAnsi="Times New Roman"/>
                <w:bCs/>
              </w:rPr>
              <w:t>turi išsisiųsti pakoreguoti asmens duomenys</w:t>
            </w:r>
            <w:r w:rsidRPr="00B80728">
              <w:rPr>
                <w:rFonts w:ascii="Times New Roman" w:hAnsi="Times New Roman"/>
              </w:rPr>
              <w:t>).</w:t>
            </w:r>
          </w:p>
        </w:tc>
      </w:tr>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Atnaujinti bei pakoreguoti ANR langą „Įrašai sistemoje“</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 xml:space="preserve">Atnaujinti bei pakoreguoti ANR langą „Įrašai sistemoje“: </w:t>
            </w:r>
          </w:p>
          <w:p w:rsidR="00EB54AB" w:rsidRPr="000B62E6" w:rsidRDefault="00EB54AB" w:rsidP="0033464C">
            <w:pPr>
              <w:pStyle w:val="Standard"/>
              <w:widowControl w:val="0"/>
              <w:jc w:val="both"/>
              <w:rPr>
                <w:rFonts w:ascii="Times New Roman" w:hAnsi="Times New Roman"/>
              </w:rPr>
            </w:pPr>
            <w:r>
              <w:rPr>
                <w:rFonts w:ascii="Times New Roman" w:hAnsi="Times New Roman"/>
              </w:rPr>
              <w:t>-</w:t>
            </w:r>
            <w:r w:rsidRPr="000B62E6">
              <w:rPr>
                <w:rFonts w:ascii="Times New Roman" w:hAnsi="Times New Roman"/>
              </w:rPr>
              <w:t>turi būti patikslinti asmens ANR ROIK atrankos ir atvaizdavimo kriterijai;</w:t>
            </w:r>
          </w:p>
          <w:p w:rsidR="00EB54AB" w:rsidRDefault="00EB54AB" w:rsidP="0033464C">
            <w:pPr>
              <w:pStyle w:val="Standard"/>
              <w:widowControl w:val="0"/>
              <w:jc w:val="both"/>
            </w:pPr>
            <w:r>
              <w:rPr>
                <w:rFonts w:ascii="Times New Roman" w:hAnsi="Times New Roman"/>
              </w:rPr>
              <w:t xml:space="preserve">- </w:t>
            </w:r>
            <w:r w:rsidRPr="000B62E6">
              <w:rPr>
                <w:rFonts w:ascii="Times New Roman" w:hAnsi="Times New Roman"/>
              </w:rPr>
              <w:t>PPPTR duomenys turi būti atvaizduojami atskirai nuo IAR duomenų (PPPTR skirtame lango bloke). Turi būti atvaizduojami galiojančių PPPTR perspėjimų</w:t>
            </w:r>
            <w:r>
              <w:rPr>
                <w:rFonts w:ascii="Times New Roman" w:hAnsi="Times New Roman"/>
              </w:rPr>
              <w:t xml:space="preserve"> duomenys</w:t>
            </w:r>
            <w:r w:rsidRPr="000B62E6">
              <w:rPr>
                <w:rFonts w:ascii="Times New Roman" w:hAnsi="Times New Roman"/>
              </w:rPr>
              <w:t xml:space="preserve"> – ROIK, asmens kodas, asmens vardas, asmens pavardė, asmens gimimo data, objekto tipas (t. y. perspėjimo paskelbimo kategorija) ir požymis ar paskelbta N.SIS.</w:t>
            </w:r>
          </w:p>
        </w:tc>
      </w:tr>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Patobulinti „AN bylų kontrolės“ funkcionalumą“</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both"/>
            </w:pPr>
            <w:r>
              <w:rPr>
                <w:rFonts w:ascii="Times New Roman" w:hAnsi="Times New Roman"/>
              </w:rPr>
              <w:t>Patobulinti „AN bylų kontrolės“ funkcionalumą:</w:t>
            </w:r>
          </w:p>
          <w:p w:rsidR="00EB54AB" w:rsidRDefault="00EB54AB" w:rsidP="0033464C">
            <w:pPr>
              <w:pStyle w:val="Standard"/>
              <w:widowControl w:val="0"/>
              <w:numPr>
                <w:ilvl w:val="0"/>
                <w:numId w:val="4"/>
              </w:numPr>
              <w:ind w:left="0" w:firstLine="0"/>
              <w:jc w:val="both"/>
            </w:pPr>
            <w:r>
              <w:rPr>
                <w:rFonts w:ascii="Times New Roman" w:hAnsi="Times New Roman"/>
              </w:rPr>
              <w:t xml:space="preserve">Peržiūrėti bei atnaujinti kriterijus, jų skaičiavimo parametrus, pagal kuriuos įrašai patenka į AN bylų kontrolę. Pvz. pakeisti kriterijaus „Surašytas protokolas, bet ne priimtas protokolas“ terminą turi skaičiuoti nuo protokolo surašymo, tik tuo atveju, kai nėra nurodytas bylos nagrinėjimo </w:t>
            </w:r>
            <w:r w:rsidRPr="006424FB">
              <w:rPr>
                <w:rFonts w:ascii="Times New Roman" w:hAnsi="Times New Roman"/>
              </w:rPr>
              <w:t>terminas</w:t>
            </w:r>
            <w:r w:rsidRPr="006424FB">
              <w:rPr>
                <w:rFonts w:ascii="Times New Roman" w:hAnsi="Times New Roman"/>
                <w:strike/>
              </w:rPr>
              <w:t>,</w:t>
            </w:r>
            <w:r w:rsidRPr="006424FB">
              <w:rPr>
                <w:rFonts w:ascii="Times New Roman" w:hAnsi="Times New Roman"/>
                <w:bCs/>
              </w:rPr>
              <w:t xml:space="preserve"> jei</w:t>
            </w:r>
            <w:r w:rsidRPr="006424FB">
              <w:rPr>
                <w:rFonts w:ascii="Times New Roman" w:hAnsi="Times New Roman"/>
              </w:rPr>
              <w:t xml:space="preserve"> yra terminas nurodytas, tai turi skaičiuoti nuo šio termino</w:t>
            </w:r>
            <w:r w:rsidRPr="006424FB">
              <w:rPr>
                <w:rFonts w:ascii="Times New Roman" w:hAnsi="Times New Roman"/>
                <w:bCs/>
              </w:rPr>
              <w:t xml:space="preserve"> ir pan.</w:t>
            </w:r>
          </w:p>
          <w:p w:rsidR="00EB54AB" w:rsidRDefault="00EB54AB" w:rsidP="0033464C">
            <w:pPr>
              <w:pStyle w:val="Standard"/>
              <w:widowControl w:val="0"/>
              <w:numPr>
                <w:ilvl w:val="0"/>
                <w:numId w:val="4"/>
              </w:numPr>
              <w:ind w:left="0" w:firstLine="0"/>
              <w:jc w:val="both"/>
            </w:pPr>
            <w:r>
              <w:rPr>
                <w:rFonts w:ascii="Times New Roman" w:hAnsi="Times New Roman"/>
              </w:rPr>
              <w:t>Atsisakyti nereikalingų kriterijų (</w:t>
            </w:r>
            <w:bookmarkStart w:id="9" w:name="content_menu"/>
            <w:bookmarkEnd w:id="9"/>
            <w:r>
              <w:rPr>
                <w:rFonts w:ascii="Times New Roman" w:hAnsi="Times New Roman"/>
              </w:rPr>
              <w:t>„</w:t>
            </w:r>
            <w:r>
              <w:t xml:space="preserve">Administracinis nurodymas apmokėtas, bet nepristatytas spec. teisės dokumentas“, </w:t>
            </w:r>
            <w:r>
              <w:rPr>
                <w:rFonts w:ascii="Times New Roman" w:hAnsi="Times New Roman"/>
              </w:rPr>
              <w:t>„Nutarimas skirti baudą neįvykdytas, tačiau pateiktas vykdyti“; „Nutarimas skirti baudą neįvykdytas ir nepateiktas vykdyti“; „Nutarimas skirti administracinį areštą neįvykdytas“). Tikslus sąrašas atsisakomų kriterijų bus patikslintas analizės etapo metu.</w:t>
            </w:r>
          </w:p>
          <w:p w:rsidR="00EB54AB" w:rsidRDefault="00EB54AB" w:rsidP="0033464C">
            <w:pPr>
              <w:pStyle w:val="Standard"/>
              <w:widowControl w:val="0"/>
              <w:numPr>
                <w:ilvl w:val="0"/>
                <w:numId w:val="4"/>
              </w:numPr>
              <w:ind w:left="0" w:firstLine="0"/>
              <w:jc w:val="both"/>
            </w:pPr>
            <w:r>
              <w:rPr>
                <w:rFonts w:ascii="Times New Roman" w:hAnsi="Times New Roman"/>
              </w:rPr>
              <w:t>Sukurti galimybę vartotojui suformuoti užklausą pagal nustatytus kriterijus („Administracinis nurodymas galiojantis ir neįvykdytas“; „</w:t>
            </w:r>
            <w:bookmarkStart w:id="10" w:name="content_menu2"/>
            <w:bookmarkEnd w:id="10"/>
            <w:r>
              <w:t>Surašytas protokolas, bet nepriimtas nutarimas“; „Nesurašytas protokolas ir nenutraukta bylos teisen</w:t>
            </w:r>
            <w:bookmarkStart w:id="11" w:name="content_menu1"/>
            <w:bookmarkEnd w:id="11"/>
            <w:r>
              <w:t xml:space="preserve">a“; „Nutarimas skirti viešuosius darbus neįvykdytas“; „Nutarimas skirti </w:t>
            </w:r>
            <w:r>
              <w:lastRenderedPageBreak/>
              <w:t>administracinio poveikio priemonę neįvykdytas“; „</w:t>
            </w:r>
            <w:r>
              <w:rPr>
                <w:rFonts w:ascii="Times New Roman" w:hAnsi="Times New Roman"/>
              </w:rPr>
              <w:t>Nėra galimybės išieškoti“).</w:t>
            </w:r>
          </w:p>
          <w:p w:rsidR="00EB54AB" w:rsidRDefault="00EB54AB" w:rsidP="0033464C">
            <w:pPr>
              <w:pStyle w:val="Standard"/>
              <w:widowControl w:val="0"/>
              <w:numPr>
                <w:ilvl w:val="0"/>
                <w:numId w:val="4"/>
              </w:numPr>
              <w:ind w:left="0" w:firstLine="0"/>
              <w:jc w:val="both"/>
            </w:pPr>
            <w:r>
              <w:rPr>
                <w:rFonts w:ascii="Times New Roman" w:hAnsi="Times New Roman"/>
              </w:rPr>
              <w:t>Papildyti kriterijų, kuris vykdo paiešką pagal bylos nagrinėjimo datą ir numatyti vykdyti paiešką ne tik pagal vieną datą, bet ir pagal laikotarpį. Pasirinkus „nuo iki“, tai turi būti surandamos visos bylos, kurių nagrinėjimo data patenka į pasirinktą laikotarpį.</w:t>
            </w:r>
          </w:p>
        </w:tc>
      </w:tr>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Patobulinti automatinį teisenos nutraukimą suėjus 2 metų senaties terminui</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both"/>
            </w:pPr>
            <w:r>
              <w:rPr>
                <w:rFonts w:ascii="Times New Roman" w:hAnsi="Times New Roman"/>
              </w:rPr>
              <w:t>Patobulinti automatinį teisenos nutraukimą suėjus 2 metų senaties terminui. Terminas turi būti skaičiuojamas nuo AN padarymo datos: jei yra data nuo ir data iki, skaičiuojama nuo datos iki; jei yra tiktai viena data nuo, tuomet skaičiuojama nuo šios datos. Turi nutraukti:</w:t>
            </w:r>
          </w:p>
          <w:p w:rsidR="00EB54AB" w:rsidRDefault="00EB54AB" w:rsidP="0033464C">
            <w:pPr>
              <w:pStyle w:val="Standard"/>
              <w:widowControl w:val="0"/>
              <w:numPr>
                <w:ilvl w:val="0"/>
                <w:numId w:val="6"/>
              </w:numPr>
              <w:ind w:left="0" w:firstLine="0"/>
              <w:jc w:val="both"/>
            </w:pPr>
            <w:r>
              <w:rPr>
                <w:rFonts w:ascii="Times New Roman" w:hAnsi="Times New Roman"/>
              </w:rPr>
              <w:t>Surašytas tik AN protokolas;</w:t>
            </w:r>
          </w:p>
          <w:p w:rsidR="00EB54AB" w:rsidRDefault="00EB54AB" w:rsidP="0033464C">
            <w:pPr>
              <w:pStyle w:val="Standard"/>
              <w:widowControl w:val="0"/>
              <w:numPr>
                <w:ilvl w:val="0"/>
                <w:numId w:val="6"/>
              </w:numPr>
              <w:ind w:left="0" w:firstLine="0"/>
              <w:jc w:val="both"/>
            </w:pPr>
            <w:r>
              <w:rPr>
                <w:rFonts w:ascii="Times New Roman" w:hAnsi="Times New Roman"/>
              </w:rPr>
              <w:t>Surašytas AN protokolas su administraciniu nurodymu, tačiau jis neįvykdytas ar negalioja;</w:t>
            </w:r>
          </w:p>
          <w:p w:rsidR="00EB54AB" w:rsidRDefault="00EB54AB" w:rsidP="0033464C">
            <w:pPr>
              <w:pStyle w:val="Standard"/>
              <w:widowControl w:val="0"/>
              <w:numPr>
                <w:ilvl w:val="0"/>
                <w:numId w:val="6"/>
              </w:numPr>
              <w:ind w:left="0" w:firstLine="0"/>
              <w:jc w:val="both"/>
            </w:pPr>
            <w:r>
              <w:rPr>
                <w:rFonts w:ascii="Times New Roman" w:hAnsi="Times New Roman"/>
              </w:rPr>
              <w:t>Panaikintas nutarimas AN byloje ir grąžintas institucijai;</w:t>
            </w:r>
          </w:p>
          <w:p w:rsidR="00EB54AB" w:rsidRDefault="00EB54AB" w:rsidP="0033464C">
            <w:pPr>
              <w:pStyle w:val="Standard"/>
              <w:widowControl w:val="0"/>
              <w:numPr>
                <w:ilvl w:val="0"/>
                <w:numId w:val="6"/>
              </w:numPr>
              <w:ind w:left="0" w:firstLine="0"/>
              <w:jc w:val="both"/>
            </w:pPr>
            <w:r>
              <w:rPr>
                <w:rFonts w:ascii="Times New Roman" w:hAnsi="Times New Roman"/>
              </w:rPr>
              <w:t>Nėra jokio sprendimo;</w:t>
            </w:r>
          </w:p>
          <w:p w:rsidR="00EB54AB" w:rsidRDefault="00EB54AB" w:rsidP="0033464C">
            <w:pPr>
              <w:pStyle w:val="Standard"/>
              <w:widowControl w:val="0"/>
              <w:numPr>
                <w:ilvl w:val="0"/>
                <w:numId w:val="6"/>
              </w:numPr>
              <w:ind w:left="0" w:firstLine="0"/>
              <w:jc w:val="both"/>
            </w:pPr>
            <w:r>
              <w:rPr>
                <w:rFonts w:ascii="Times New Roman" w:hAnsi="Times New Roman"/>
              </w:rPr>
              <w:t>Kitais analizės metu nustatytais atvejais.</w:t>
            </w:r>
          </w:p>
        </w:tc>
      </w:tr>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lang w:val="en-US"/>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Pakoreguoti procesinių sprendimų dokumentų formavimo funkcionalumą</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Pr="004A34C8" w:rsidRDefault="00EB54AB" w:rsidP="0033464C">
            <w:pPr>
              <w:pStyle w:val="Standard"/>
              <w:widowControl w:val="0"/>
              <w:jc w:val="both"/>
              <w:rPr>
                <w:rFonts w:ascii="Times New Roman" w:hAnsi="Times New Roman"/>
              </w:rPr>
            </w:pPr>
            <w:r>
              <w:rPr>
                <w:rFonts w:ascii="Times New Roman" w:hAnsi="Times New Roman"/>
              </w:rPr>
              <w:t>Pakoreguoti visų procesinių sprendimų dokumentų formavimą, kuriuose naudojama pažeidimo data, atvaizduojant datas „nuo“ ir „iki“ jei jos yra suvestos.</w:t>
            </w:r>
          </w:p>
        </w:tc>
      </w:tr>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Praplėsti KIS sąsają</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Praplėsti ANR KIS sąsają, kad būtų galimybė pagal asmens kodą (arba kitus asmens duomenis) gauti: - visus ANR pažeidimo ir procesinių sprendimų duomenis ;</w:t>
            </w:r>
          </w:p>
          <w:p w:rsidR="00EB54AB" w:rsidRDefault="00EB54AB" w:rsidP="0033464C">
            <w:pPr>
              <w:pStyle w:val="Standard"/>
              <w:widowControl w:val="0"/>
              <w:jc w:val="both"/>
              <w:rPr>
                <w:rFonts w:ascii="Times New Roman" w:hAnsi="Times New Roman"/>
              </w:rPr>
            </w:pPr>
            <w:r>
              <w:rPr>
                <w:rFonts w:ascii="Times New Roman" w:hAnsi="Times New Roman"/>
              </w:rPr>
              <w:t>- duomenis apie finansinę būseną ;</w:t>
            </w:r>
          </w:p>
          <w:p w:rsidR="00EB54AB" w:rsidRDefault="00EB54AB" w:rsidP="0033464C">
            <w:pPr>
              <w:pStyle w:val="Standard"/>
              <w:widowControl w:val="0"/>
              <w:jc w:val="both"/>
              <w:rPr>
                <w:rFonts w:ascii="Times New Roman" w:hAnsi="Times New Roman"/>
              </w:rPr>
            </w:pPr>
            <w:r>
              <w:rPr>
                <w:rFonts w:ascii="Times New Roman" w:hAnsi="Times New Roman"/>
              </w:rPr>
              <w:t>- ANK str./be str. ir bauda (suma) sumokėta/nesumokėta.</w:t>
            </w:r>
          </w:p>
          <w:p w:rsidR="00EB54AB" w:rsidRDefault="00EB54AB" w:rsidP="0033464C">
            <w:pPr>
              <w:pStyle w:val="Standard"/>
              <w:widowControl w:val="0"/>
              <w:jc w:val="both"/>
            </w:pPr>
            <w:r>
              <w:rPr>
                <w:rFonts w:ascii="Times New Roman" w:hAnsi="Times New Roman"/>
              </w:rPr>
              <w:t>Papildomi išvesties (rezultatų)  parametrai gali būti pateikti analizės metu.</w:t>
            </w:r>
          </w:p>
          <w:p w:rsidR="00EB54AB" w:rsidRDefault="00EB54AB" w:rsidP="0033464C">
            <w:pPr>
              <w:pStyle w:val="Standard"/>
              <w:widowControl w:val="0"/>
              <w:jc w:val="both"/>
            </w:pPr>
            <w:r>
              <w:rPr>
                <w:rFonts w:ascii="Times New Roman" w:hAnsi="Times New Roman"/>
              </w:rPr>
              <w:t>ANR KIS užklausos ir pateikiami rezultatai turi būti audituojami.</w:t>
            </w:r>
          </w:p>
        </w:tc>
      </w:tr>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Pr="00AD4F43" w:rsidRDefault="00EB54AB" w:rsidP="0033464C">
            <w:pPr>
              <w:pStyle w:val="Standard"/>
              <w:numPr>
                <w:ilvl w:val="0"/>
                <w:numId w:val="1"/>
              </w:num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pPr>
            <w:r>
              <w:t>Pakeisti VSAT pareigūnų, kaip  ANR naudotojų prisijungimą prie ANR</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pPr>
            <w:r>
              <w:t xml:space="preserve">Panaikinti VSAT organizacinės struktūros ANR klasifikatoriaus naudojimą, ANR naudotojai turi būti identifikuojami ir autorizuojami ADMINIII ir ANR klasifikatoriaus „ĮSTAIGA“ pagalba. </w:t>
            </w:r>
          </w:p>
        </w:tc>
      </w:tr>
      <w:tr w:rsidR="00EB54AB" w:rsidTr="0033464C">
        <w:tc>
          <w:tcPr>
            <w:tcW w:w="540" w:type="dxa"/>
            <w:tcBorders>
              <w:top w:val="single" w:sz="2" w:space="0" w:color="000001"/>
              <w:left w:val="single" w:sz="2" w:space="0" w:color="000001"/>
              <w:bottom w:val="single" w:sz="2" w:space="0" w:color="000001"/>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Patobulinti ANR lange „Apdorotini duomenys“ rezultatų atvaizdavimą ir perkėlimą</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both"/>
            </w:pPr>
            <w:r>
              <w:rPr>
                <w:rFonts w:ascii="Times New Roman" w:hAnsi="Times New Roman"/>
              </w:rPr>
              <w:t>Patobulinti paiešką „Apdorotini duomenys“. t. y. leistų pasirinkti pagal siuntimo datą ir iššifruoti tik tuos ROIK, kurie buvo persiųsti pagal pasirinktą datą. Patobulinti „Apdorotini duomenys“ perkėlimą į .xlsx failą, pagal kiekvieną apdorotinų duomenų kriterijų.</w:t>
            </w:r>
          </w:p>
        </w:tc>
      </w:tr>
      <w:tr w:rsidR="00EB54AB" w:rsidTr="0033464C">
        <w:trPr>
          <w:trHeight w:val="1599"/>
        </w:trPr>
        <w:tc>
          <w:tcPr>
            <w:tcW w:w="540" w:type="dxa"/>
            <w:tcBorders>
              <w:top w:val="single" w:sz="2" w:space="0" w:color="000001"/>
              <w:left w:val="single" w:sz="2" w:space="0" w:color="000001"/>
              <w:bottom w:val="single" w:sz="2" w:space="0" w:color="000001"/>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Patobulinti ANR nutarimų dokumentų formavimą</w:t>
            </w:r>
          </w:p>
        </w:tc>
        <w:tc>
          <w:tcPr>
            <w:tcW w:w="5386" w:type="dxa"/>
            <w:tcBorders>
              <w:top w:val="single" w:sz="2" w:space="0" w:color="000001"/>
              <w:left w:val="single" w:sz="2" w:space="0" w:color="000001"/>
              <w:bottom w:val="single" w:sz="2" w:space="0" w:color="000001"/>
              <w:right w:val="single" w:sz="4" w:space="0" w:color="000000"/>
            </w:tcBorders>
            <w:shd w:val="clear" w:color="auto" w:fill="FFFFFF"/>
          </w:tcPr>
          <w:p w:rsidR="00EB54AB" w:rsidRDefault="00EB54AB" w:rsidP="0033464C">
            <w:pPr>
              <w:pStyle w:val="Standard"/>
              <w:widowControl w:val="0"/>
              <w:jc w:val="both"/>
            </w:pPr>
            <w:r>
              <w:rPr>
                <w:rFonts w:ascii="Times New Roman" w:hAnsi="Times New Roman"/>
              </w:rPr>
              <w:t>Turi būti patobulintas ANR nutarimų (nutarimo ir nutarimo, kai nesurašomas protokolas) dokumentų formavimas. Į šiuos dokumentus turi persikelti perkvalifikavimo pagrindai. Dokumentų šablonas bus pateiktas analizės etapo metu.</w:t>
            </w:r>
          </w:p>
        </w:tc>
      </w:tr>
      <w:tr w:rsidR="00EB54AB" w:rsidTr="0033464C">
        <w:trPr>
          <w:trHeight w:val="1778"/>
        </w:trPr>
        <w:tc>
          <w:tcPr>
            <w:tcW w:w="540" w:type="dxa"/>
            <w:tcBorders>
              <w:top w:val="single" w:sz="4" w:space="0" w:color="000000"/>
              <w:left w:val="single" w:sz="4" w:space="0" w:color="000000"/>
              <w:bottom w:val="single" w:sz="4" w:space="0" w:color="000000"/>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4" w:space="0" w:color="000000"/>
              <w:left w:val="single" w:sz="2" w:space="0" w:color="000001"/>
              <w:bottom w:val="single" w:sz="4" w:space="0" w:color="000000"/>
              <w:right w:val="single" w:sz="2" w:space="0" w:color="000001"/>
            </w:tcBorders>
            <w:shd w:val="clear" w:color="auto" w:fill="FFFFFF"/>
          </w:tcPr>
          <w:p w:rsidR="00EB54AB" w:rsidRDefault="00EB54AB" w:rsidP="0033464C">
            <w:pPr>
              <w:pStyle w:val="Standard"/>
              <w:widowControl w:val="0"/>
              <w:jc w:val="both"/>
              <w:rPr>
                <w:rFonts w:ascii="Times New Roman" w:hAnsi="Times New Roman"/>
              </w:rPr>
            </w:pPr>
            <w:r>
              <w:rPr>
                <w:rFonts w:ascii="Times New Roman" w:hAnsi="Times New Roman"/>
              </w:rPr>
              <w:t>Patobulinti auditavimo veiksmų aprašymą</w:t>
            </w:r>
          </w:p>
        </w:tc>
        <w:tc>
          <w:tcPr>
            <w:tcW w:w="5386" w:type="dxa"/>
            <w:tcBorders>
              <w:top w:val="single" w:sz="4" w:space="0" w:color="000000"/>
              <w:left w:val="single" w:sz="2" w:space="0" w:color="000001"/>
              <w:bottom w:val="single" w:sz="4" w:space="0" w:color="000000"/>
              <w:right w:val="single" w:sz="4" w:space="0" w:color="000000"/>
            </w:tcBorders>
            <w:shd w:val="clear" w:color="auto" w:fill="FFFFFF"/>
          </w:tcPr>
          <w:p w:rsidR="00EB54AB" w:rsidRDefault="00EB54AB" w:rsidP="0033464C">
            <w:pPr>
              <w:pStyle w:val="Standard"/>
              <w:widowControl w:val="0"/>
              <w:jc w:val="both"/>
            </w:pPr>
            <w:r>
              <w:rPr>
                <w:rFonts w:ascii="Times New Roman" w:hAnsi="Times New Roman"/>
              </w:rPr>
              <w:t>Patobulinti auditavimo veiksmų aprašymą.</w:t>
            </w:r>
          </w:p>
          <w:p w:rsidR="00EB54AB" w:rsidRDefault="00EB54AB" w:rsidP="0033464C">
            <w:pPr>
              <w:pStyle w:val="Standard"/>
              <w:widowControl w:val="0"/>
              <w:jc w:val="both"/>
            </w:pPr>
            <w:r>
              <w:rPr>
                <w:rFonts w:ascii="Times New Roman" w:hAnsi="Times New Roman" w:cs="Times New Roman"/>
              </w:rPr>
              <w:t>Audite turi būti nurodomi kokie buvo padaryti veiksmai (pakeitimai) (kokie duomenys arba kuriuose ANR languose buvo pakeista).</w:t>
            </w:r>
          </w:p>
          <w:p w:rsidR="00EB54AB" w:rsidRDefault="00EB54AB" w:rsidP="0033464C">
            <w:pPr>
              <w:pStyle w:val="Standard"/>
              <w:widowControl w:val="0"/>
              <w:jc w:val="both"/>
            </w:pPr>
            <w:r>
              <w:rPr>
                <w:rFonts w:ascii="Times New Roman" w:hAnsi="Times New Roman" w:cs="Times New Roman"/>
              </w:rPr>
              <w:t>Audite turi rodyti tikslius IP adresus, iš kurių buvo jungtasi prie ANR aplikacijos.</w:t>
            </w:r>
          </w:p>
        </w:tc>
      </w:tr>
      <w:tr w:rsidR="00EB54AB" w:rsidTr="0033464C">
        <w:trPr>
          <w:trHeight w:val="786"/>
        </w:trPr>
        <w:tc>
          <w:tcPr>
            <w:tcW w:w="540" w:type="dxa"/>
            <w:tcBorders>
              <w:top w:val="single" w:sz="4" w:space="0" w:color="000000"/>
              <w:left w:val="single" w:sz="4" w:space="0" w:color="000000"/>
              <w:bottom w:val="single" w:sz="4" w:space="0" w:color="000000"/>
            </w:tcBorders>
            <w:shd w:val="clear" w:color="auto" w:fill="FFFFFF"/>
          </w:tcPr>
          <w:p w:rsidR="00EB54AB" w:rsidRDefault="00EB54AB" w:rsidP="0033464C">
            <w:pPr>
              <w:pStyle w:val="Standard"/>
              <w:widowControl w:val="0"/>
              <w:numPr>
                <w:ilvl w:val="0"/>
                <w:numId w:val="1"/>
              </w:numPr>
              <w:ind w:left="709" w:hanging="709"/>
              <w:jc w:val="both"/>
              <w:rPr>
                <w:rFonts w:ascii="Times New Roman" w:hAnsi="Times New Roman" w:cs="Mangal"/>
                <w:color w:val="00000A"/>
              </w:rPr>
            </w:pPr>
          </w:p>
        </w:tc>
        <w:tc>
          <w:tcPr>
            <w:tcW w:w="3686" w:type="dxa"/>
            <w:tcBorders>
              <w:top w:val="single" w:sz="4" w:space="0" w:color="000000"/>
              <w:left w:val="single" w:sz="2" w:space="0" w:color="000001"/>
              <w:bottom w:val="single" w:sz="4" w:space="0" w:color="000000"/>
              <w:right w:val="single" w:sz="2" w:space="0" w:color="000001"/>
            </w:tcBorders>
            <w:shd w:val="clear" w:color="auto" w:fill="FFFFFF"/>
          </w:tcPr>
          <w:p w:rsidR="00EB54AB" w:rsidRDefault="00EB54AB" w:rsidP="0033464C">
            <w:pPr>
              <w:pStyle w:val="Standard"/>
            </w:pPr>
            <w:r>
              <w:t>Patobulinti ANR formuojamą išrašą</w:t>
            </w:r>
          </w:p>
        </w:tc>
        <w:tc>
          <w:tcPr>
            <w:tcW w:w="5386" w:type="dxa"/>
            <w:tcBorders>
              <w:top w:val="single" w:sz="4" w:space="0" w:color="000000"/>
              <w:left w:val="single" w:sz="2" w:space="0" w:color="000001"/>
              <w:bottom w:val="single" w:sz="4" w:space="0" w:color="000000"/>
              <w:right w:val="single" w:sz="4" w:space="0" w:color="000000"/>
            </w:tcBorders>
            <w:shd w:val="clear" w:color="auto" w:fill="FFFFFF"/>
          </w:tcPr>
          <w:p w:rsidR="00EB54AB" w:rsidRDefault="00EB54AB" w:rsidP="0033464C">
            <w:pPr>
              <w:pStyle w:val="Standard"/>
            </w:pPr>
            <w:r>
              <w:t>Patobulinti išrašo formavimą, kai formuojami išrašai su archyviniais duomenimis ir išraše atvaizduoti baudos sumokėjimo duomenis (kai baudos sumokėtos bet išraše nėra apie tai informacijos).</w:t>
            </w:r>
          </w:p>
        </w:tc>
      </w:tr>
      <w:tr w:rsidR="00EB54AB" w:rsidTr="0033464C">
        <w:trPr>
          <w:trHeight w:val="1216"/>
        </w:trPr>
        <w:tc>
          <w:tcPr>
            <w:tcW w:w="540" w:type="dxa"/>
            <w:tcBorders>
              <w:top w:val="single" w:sz="2" w:space="0" w:color="000001"/>
              <w:left w:val="single" w:sz="4" w:space="0" w:color="000000"/>
              <w:bottom w:val="single" w:sz="4" w:space="0" w:color="000000"/>
            </w:tcBorders>
            <w:shd w:val="clear" w:color="auto" w:fill="FFFFFF"/>
          </w:tcPr>
          <w:p w:rsidR="00EB54AB" w:rsidRPr="006424FB" w:rsidRDefault="00EB54AB" w:rsidP="0033464C">
            <w:pPr>
              <w:pStyle w:val="Standard"/>
              <w:widowControl w:val="0"/>
              <w:numPr>
                <w:ilvl w:val="0"/>
                <w:numId w:val="1"/>
              </w:numPr>
              <w:ind w:left="709" w:hanging="709"/>
              <w:jc w:val="both"/>
            </w:pPr>
          </w:p>
        </w:tc>
        <w:tc>
          <w:tcPr>
            <w:tcW w:w="3686" w:type="dxa"/>
            <w:tcBorders>
              <w:top w:val="single" w:sz="2" w:space="0" w:color="000001"/>
              <w:left w:val="single" w:sz="2" w:space="0" w:color="000001"/>
              <w:bottom w:val="single" w:sz="4" w:space="0" w:color="000000"/>
              <w:right w:val="single" w:sz="2" w:space="0" w:color="000001"/>
            </w:tcBorders>
            <w:shd w:val="clear" w:color="auto" w:fill="FFFFFF"/>
          </w:tcPr>
          <w:p w:rsidR="00EB54AB" w:rsidRPr="006424FB" w:rsidRDefault="00EB54AB" w:rsidP="0033464C">
            <w:pPr>
              <w:pStyle w:val="Standard"/>
              <w:widowControl w:val="0"/>
              <w:jc w:val="both"/>
              <w:rPr>
                <w:rFonts w:ascii="Times New Roman" w:hAnsi="Times New Roman" w:cs="Times New Roman"/>
                <w:color w:val="000000"/>
                <w:lang w:eastAsia="lt-LT"/>
              </w:rPr>
            </w:pPr>
            <w:r w:rsidRPr="006424FB">
              <w:rPr>
                <w:rFonts w:ascii="Times New Roman" w:hAnsi="Times New Roman" w:cs="Times New Roman"/>
                <w:color w:val="000000"/>
                <w:lang w:eastAsia="lt-LT"/>
              </w:rPr>
              <w:t>Patobulinti ANR funkcionalumus, susijusius su nutarimo apskundimu ir sprendimo po skundo išnagrinėjimu</w:t>
            </w:r>
            <w:r w:rsidRPr="006424FB">
              <w:rPr>
                <w:rFonts w:ascii="Times New Roman" w:hAnsi="Times New Roman" w:cs="Times New Roman"/>
                <w:bCs/>
                <w:color w:val="000000"/>
                <w:lang w:eastAsia="lt-LT"/>
              </w:rPr>
              <w:t>, pranešimų į MAIS išsiuntimą (turi siųsti pranešimus, kurie atitinka ANR-MAIS specifikaciją)</w:t>
            </w:r>
          </w:p>
        </w:tc>
        <w:tc>
          <w:tcPr>
            <w:tcW w:w="5386" w:type="dxa"/>
            <w:tcBorders>
              <w:top w:val="single" w:sz="2" w:space="0" w:color="000001"/>
              <w:left w:val="single" w:sz="2" w:space="0" w:color="000001"/>
              <w:bottom w:val="single" w:sz="4" w:space="0" w:color="000000"/>
              <w:right w:val="single" w:sz="4" w:space="0" w:color="000000"/>
            </w:tcBorders>
            <w:shd w:val="clear" w:color="auto" w:fill="FFFFFF"/>
          </w:tcPr>
          <w:p w:rsidR="00EB54AB" w:rsidRDefault="00EB54AB" w:rsidP="0033464C">
            <w:pPr>
              <w:pStyle w:val="Standard"/>
              <w:widowControl w:val="0"/>
              <w:jc w:val="both"/>
            </w:pPr>
            <w:r>
              <w:rPr>
                <w:rFonts w:ascii="Times New Roman" w:hAnsi="Times New Roman" w:cs="Times New Roman"/>
                <w:color w:val="000000"/>
                <w:lang w:eastAsia="lt-LT"/>
              </w:rPr>
              <w:t>Patobulinti ANR funkcionalumus, susijusius su nutarimo apskundimo ir sprendimo po skundo išnagrinėjimu:</w:t>
            </w:r>
          </w:p>
          <w:p w:rsidR="00EB54AB" w:rsidRDefault="00EB54AB" w:rsidP="0033464C">
            <w:pPr>
              <w:pStyle w:val="Standard"/>
              <w:widowControl w:val="0"/>
              <w:numPr>
                <w:ilvl w:val="0"/>
                <w:numId w:val="7"/>
              </w:numPr>
              <w:ind w:left="0" w:firstLine="0"/>
              <w:jc w:val="both"/>
            </w:pPr>
            <w:r>
              <w:rPr>
                <w:rFonts w:ascii="Times New Roman" w:hAnsi="Times New Roman" w:cs="Times New Roman"/>
                <w:color w:val="000000"/>
                <w:lang w:eastAsia="lt-LT"/>
              </w:rPr>
              <w:t xml:space="preserve">Patobulinti sprendimų po skundo išnagrinėjimo suvedimą ir papildyti sprendimu „panaikinti apylinkės teismo nutarimą (nutartį) ir palikti galioti ne teismo tvarka priimtą nutarimą“. </w:t>
            </w:r>
            <w:r>
              <w:rPr>
                <w:color w:val="000000"/>
                <w:lang w:eastAsia="lt-LT"/>
              </w:rPr>
              <w:t>Pakoreguoti pranešimus, siunčiamus į MAIS ka</w:t>
            </w:r>
            <w:r>
              <w:rPr>
                <w:lang w:eastAsia="lt-LT"/>
              </w:rPr>
              <w:t xml:space="preserve">i suvedamas apskundimas, sprendimas po skundo išnagrinėjimo. </w:t>
            </w:r>
            <w:r>
              <w:rPr>
                <w:rFonts w:ascii="Times New Roman" w:hAnsi="Times New Roman"/>
                <w:lang w:eastAsia="lt-LT"/>
              </w:rPr>
              <w:t xml:space="preserve">Pvz. priėmus nutarimą, jis apskundžiamas. Išnagrinėjus skundą, nutarimas panaikinamas. Šis (antras, jau sprendimas) apskundžiamas ir jis yra panaikinamas ir paliekamas galioti pirmas sprendimas. Turi būti galimybė suvesti tokią informaciją ir išsiųsti atitinkamus sprendimus. Jeigu teismas išnagrinėja skundą ir sutinka su skundu ir priima sprendimą – priimti naują nutarimą su švelnesne </w:t>
            </w:r>
            <w:r>
              <w:rPr>
                <w:rFonts w:ascii="Times New Roman" w:hAnsi="Times New Roman"/>
                <w:color w:val="000000"/>
                <w:lang w:eastAsia="lt-LT"/>
              </w:rPr>
              <w:t>bauda, tai gali būti kaip ir tame pačiame nutarime taip ir atskirame nutarime, bet tokiu atveju MAIS nepriims tokio pranešimo.</w:t>
            </w:r>
          </w:p>
          <w:p w:rsidR="00EB54AB" w:rsidRDefault="00EB54AB" w:rsidP="0033464C">
            <w:pPr>
              <w:pStyle w:val="Standard"/>
              <w:widowControl w:val="0"/>
              <w:numPr>
                <w:ilvl w:val="0"/>
                <w:numId w:val="7"/>
              </w:numPr>
              <w:ind w:left="0" w:firstLine="0"/>
              <w:jc w:val="both"/>
            </w:pPr>
            <w:r>
              <w:rPr>
                <w:lang w:eastAsia="lt-LT"/>
              </w:rPr>
              <w:t>Vietoj šiuo metu esančių teismo ir institucijos sprendimų išnagrinėjus skundą ir sprendimo sutikti su skundo reikalavimais, palikti vieną (bendrą) – pvz.: Sprendimas išnagrinėjus skundą. Sprendimų įtaką apskųstam nutarimui (galioja, negalioja, vykdomas ar t.t.), sprendimai bus pateikti analizės etapo metu. Toliau turi būti naudojamas dviejų lygių sprendimų klasifikatorius.</w:t>
            </w:r>
          </w:p>
          <w:p w:rsidR="00EB54AB" w:rsidRDefault="00EB54AB" w:rsidP="0033464C">
            <w:pPr>
              <w:pStyle w:val="Standard"/>
              <w:widowControl w:val="0"/>
              <w:numPr>
                <w:ilvl w:val="0"/>
                <w:numId w:val="7"/>
              </w:numPr>
              <w:ind w:left="0" w:firstLine="0"/>
              <w:jc w:val="both"/>
            </w:pPr>
            <w:r>
              <w:rPr>
                <w:rFonts w:ascii="Times New Roman" w:hAnsi="Times New Roman"/>
                <w:lang w:eastAsia="lt-LT"/>
              </w:rPr>
              <w:t xml:space="preserve">Suvedant procesinį sprendimą po skundo išnagrinėjimo </w:t>
            </w:r>
            <w:r>
              <w:rPr>
                <w:rFonts w:ascii="Times New Roman" w:hAnsi="Times New Roman"/>
                <w:color w:val="000000"/>
                <w:lang w:eastAsia="lt-LT"/>
              </w:rPr>
              <w:t xml:space="preserve">sukurti </w:t>
            </w:r>
            <w:r>
              <w:rPr>
                <w:rFonts w:ascii="Times New Roman" w:hAnsi="Times New Roman"/>
                <w:lang w:eastAsia="lt-LT"/>
              </w:rPr>
              <w:t xml:space="preserve">galimybę ne tik prisegti, bet ir suformuoti dokumentą. Formuojant tokį dokumentą turi galioti ir bendros dokumento formavimo taisyklės, turi būti sukurtas papildomas langas informacijai suvesti. Dokumento šablonas bus pateiktas analizės </w:t>
            </w:r>
            <w:r>
              <w:rPr>
                <w:rFonts w:ascii="Times New Roman" w:hAnsi="Times New Roman"/>
                <w:lang w:eastAsia="lt-LT"/>
              </w:rPr>
              <w:lastRenderedPageBreak/>
              <w:t>etapo metu.</w:t>
            </w:r>
          </w:p>
          <w:p w:rsidR="00EB54AB" w:rsidRDefault="00EB54AB" w:rsidP="0033464C">
            <w:pPr>
              <w:pStyle w:val="Standard"/>
              <w:widowControl w:val="0"/>
              <w:numPr>
                <w:ilvl w:val="0"/>
                <w:numId w:val="7"/>
              </w:numPr>
              <w:ind w:left="0" w:firstLine="0"/>
              <w:jc w:val="both"/>
            </w:pPr>
            <w:r>
              <w:rPr>
                <w:rFonts w:ascii="Times New Roman" w:hAnsi="Times New Roman"/>
                <w:lang w:eastAsia="lt-LT"/>
              </w:rPr>
              <w:t>Patobulinti atsiliepimo į skundą pildymą:</w:t>
            </w:r>
          </w:p>
          <w:p w:rsidR="00EB54AB" w:rsidRDefault="00EB54AB" w:rsidP="0033464C">
            <w:pPr>
              <w:pStyle w:val="Standard"/>
              <w:widowControl w:val="0"/>
              <w:numPr>
                <w:ilvl w:val="0"/>
                <w:numId w:val="8"/>
              </w:numPr>
              <w:ind w:left="0" w:firstLine="0"/>
              <w:jc w:val="both"/>
            </w:pPr>
            <w:r>
              <w:rPr>
                <w:rFonts w:ascii="Times New Roman" w:hAnsi="Times New Roman"/>
              </w:rPr>
              <w:t>numatyti tik privalomą datos pildymą. Atsisakyti laikui suvesti skirtų laukų;</w:t>
            </w:r>
          </w:p>
          <w:p w:rsidR="00EB54AB" w:rsidRDefault="00EB54AB" w:rsidP="0033464C">
            <w:pPr>
              <w:pStyle w:val="Standard"/>
              <w:widowControl w:val="0"/>
              <w:numPr>
                <w:ilvl w:val="0"/>
                <w:numId w:val="8"/>
              </w:numPr>
              <w:ind w:left="0" w:firstLine="0"/>
              <w:jc w:val="both"/>
            </w:pPr>
            <w:r>
              <w:rPr>
                <w:rFonts w:ascii="Times New Roman" w:hAnsi="Times New Roman"/>
              </w:rPr>
              <w:t>padidinti simbolių skaičių, lauke „Atsiliepimo tekstas“</w:t>
            </w:r>
            <w:r>
              <w:rPr>
                <w:rFonts w:ascii="Times New Roman" w:hAnsi="Times New Roman"/>
                <w:lang w:eastAsia="lt-LT"/>
              </w:rPr>
              <w:t>. Padaryti vartotojo sąsają patogią pildymui vartotojui (nekuriant papildomų laukų skaičiaus, sukeičiant juos vietomis ar pan.).</w:t>
            </w:r>
          </w:p>
          <w:p w:rsidR="00EB54AB" w:rsidRDefault="00EB54AB" w:rsidP="0033464C">
            <w:pPr>
              <w:pStyle w:val="Standard"/>
              <w:widowControl w:val="0"/>
              <w:jc w:val="both"/>
            </w:pPr>
            <w:r>
              <w:rPr>
                <w:rFonts w:ascii="Times New Roman" w:hAnsi="Times New Roman"/>
                <w:lang w:eastAsia="lt-LT"/>
              </w:rPr>
              <w:t>Pastaba: Įgyvendinant šį reikalavimai nebus kuriami nauji, ANR_MAIS specifikacijoje nenumatyti pranešimai į MAIS.</w:t>
            </w:r>
          </w:p>
        </w:tc>
      </w:tr>
      <w:tr w:rsidR="00EB54AB" w:rsidTr="0033464C">
        <w:trPr>
          <w:trHeight w:val="434"/>
        </w:trPr>
        <w:tc>
          <w:tcPr>
            <w:tcW w:w="540" w:type="dxa"/>
            <w:tcBorders>
              <w:top w:val="single" w:sz="4" w:space="0" w:color="000000"/>
              <w:left w:val="single" w:sz="4" w:space="0" w:color="000000"/>
              <w:bottom w:val="single" w:sz="4" w:space="0" w:color="000000"/>
            </w:tcBorders>
            <w:shd w:val="clear" w:color="auto" w:fill="FFFFFF"/>
          </w:tcPr>
          <w:p w:rsidR="00EB54AB" w:rsidRDefault="00EB54AB" w:rsidP="0033464C">
            <w:pPr>
              <w:pStyle w:val="Standard"/>
              <w:widowControl w:val="0"/>
              <w:numPr>
                <w:ilvl w:val="0"/>
                <w:numId w:val="1"/>
              </w:numPr>
              <w:ind w:left="709" w:hanging="709"/>
              <w:jc w:val="both"/>
            </w:pPr>
          </w:p>
        </w:tc>
        <w:tc>
          <w:tcPr>
            <w:tcW w:w="3686" w:type="dxa"/>
            <w:tcBorders>
              <w:top w:val="single" w:sz="4" w:space="0" w:color="000000"/>
              <w:left w:val="single" w:sz="2" w:space="0" w:color="000001"/>
              <w:bottom w:val="single" w:sz="4" w:space="0" w:color="000000"/>
              <w:right w:val="single" w:sz="2" w:space="0" w:color="000001"/>
            </w:tcBorders>
            <w:shd w:val="clear" w:color="auto" w:fill="FFFFFF"/>
          </w:tcPr>
          <w:p w:rsidR="00EB54AB" w:rsidRDefault="00EB54AB" w:rsidP="0033464C">
            <w:pPr>
              <w:pStyle w:val="Standard"/>
              <w:widowControl w:val="0"/>
              <w:jc w:val="both"/>
            </w:pPr>
            <w:r>
              <w:t>Praplėsti ANR sinchroninį duomenų teikimo STT apimtį</w:t>
            </w:r>
          </w:p>
        </w:tc>
        <w:tc>
          <w:tcPr>
            <w:tcW w:w="5386" w:type="dxa"/>
            <w:tcBorders>
              <w:top w:val="single" w:sz="4" w:space="0" w:color="000000"/>
              <w:left w:val="single" w:sz="2" w:space="0" w:color="000001"/>
              <w:bottom w:val="single" w:sz="4" w:space="0" w:color="000000"/>
              <w:right w:val="single" w:sz="4" w:space="0" w:color="000000"/>
            </w:tcBorders>
            <w:shd w:val="clear" w:color="auto" w:fill="FFFFFF"/>
          </w:tcPr>
          <w:p w:rsidR="00EB54AB" w:rsidRDefault="00EB54AB" w:rsidP="0033464C">
            <w:pPr>
              <w:pStyle w:val="Standard"/>
              <w:widowControl w:val="0"/>
              <w:jc w:val="both"/>
            </w:pPr>
            <w:r>
              <w:t>Praplėsti ANR sinchroninį duomenų teikimo STT apimtį. Turi būti papildyta ANR perduodamų duomenų apimtis pagal STT nurodytą poreikį bei dokumentacijoje detaliai aprašytos perduodamų duomenų esybės ir ryšiai.</w:t>
            </w:r>
          </w:p>
        </w:tc>
      </w:tr>
      <w:tr w:rsidR="00EB54AB" w:rsidTr="0033464C">
        <w:trPr>
          <w:trHeight w:val="786"/>
        </w:trPr>
        <w:tc>
          <w:tcPr>
            <w:tcW w:w="540" w:type="dxa"/>
            <w:tcBorders>
              <w:top w:val="single" w:sz="4" w:space="0" w:color="000000"/>
              <w:left w:val="single" w:sz="4" w:space="0" w:color="000000"/>
              <w:bottom w:val="single" w:sz="4" w:space="0" w:color="000000"/>
            </w:tcBorders>
            <w:shd w:val="clear" w:color="auto" w:fill="FFFFFF"/>
          </w:tcPr>
          <w:p w:rsidR="00EB54AB" w:rsidRDefault="00EB54AB" w:rsidP="0033464C">
            <w:pPr>
              <w:pStyle w:val="Standard"/>
              <w:widowControl w:val="0"/>
              <w:numPr>
                <w:ilvl w:val="0"/>
                <w:numId w:val="1"/>
              </w:numPr>
              <w:ind w:left="709" w:hanging="709"/>
              <w:jc w:val="both"/>
            </w:pPr>
          </w:p>
        </w:tc>
        <w:tc>
          <w:tcPr>
            <w:tcW w:w="3686" w:type="dxa"/>
            <w:tcBorders>
              <w:top w:val="single" w:sz="4" w:space="0" w:color="000000"/>
              <w:left w:val="single" w:sz="2" w:space="0" w:color="000001"/>
              <w:bottom w:val="single" w:sz="4" w:space="0" w:color="000000"/>
              <w:right w:val="single" w:sz="2" w:space="0" w:color="000001"/>
            </w:tcBorders>
            <w:shd w:val="clear" w:color="auto" w:fill="FFFFFF"/>
          </w:tcPr>
          <w:p w:rsidR="00EB54AB" w:rsidRPr="00A34D07" w:rsidRDefault="00EB54AB" w:rsidP="0033464C">
            <w:pPr>
              <w:pStyle w:val="Standard"/>
              <w:widowControl w:val="0"/>
              <w:jc w:val="both"/>
            </w:pPr>
            <w:r w:rsidRPr="00924249">
              <w:t>Pakeisti procesinio sprendimo dokumento anuliavimo funkcionalum</w:t>
            </w:r>
            <w:r w:rsidRPr="00A34D07">
              <w:rPr>
                <w:rFonts w:hint="cs"/>
              </w:rPr>
              <w:t>ą</w:t>
            </w:r>
          </w:p>
        </w:tc>
        <w:tc>
          <w:tcPr>
            <w:tcW w:w="5386" w:type="dxa"/>
            <w:tcBorders>
              <w:top w:val="single" w:sz="4" w:space="0" w:color="000000"/>
              <w:left w:val="single" w:sz="2" w:space="0" w:color="000001"/>
              <w:bottom w:val="single" w:sz="4" w:space="0" w:color="000000"/>
              <w:right w:val="single" w:sz="4" w:space="0" w:color="000000"/>
            </w:tcBorders>
            <w:shd w:val="clear" w:color="auto" w:fill="FFFFFF"/>
          </w:tcPr>
          <w:p w:rsidR="00EB54AB" w:rsidRDefault="00EB54AB" w:rsidP="0033464C">
            <w:pPr>
              <w:pStyle w:val="Standard"/>
              <w:widowControl w:val="0"/>
              <w:jc w:val="both"/>
            </w:pPr>
            <w:r w:rsidRPr="00A34D07">
              <w:t>Procesinio sprendimo dokumento anuliavimas galimas tik iš procesinio sprendimo, kurio dokumentas anuliuojamas, lango.</w:t>
            </w:r>
            <w:r>
              <w:t xml:space="preserve"> </w:t>
            </w:r>
          </w:p>
        </w:tc>
      </w:tr>
      <w:tr w:rsidR="00EB54AB" w:rsidTr="0033464C">
        <w:trPr>
          <w:trHeight w:val="786"/>
        </w:trPr>
        <w:tc>
          <w:tcPr>
            <w:tcW w:w="540" w:type="dxa"/>
            <w:tcBorders>
              <w:top w:val="single" w:sz="4" w:space="0" w:color="000000"/>
              <w:left w:val="single" w:sz="4" w:space="0" w:color="000000"/>
              <w:bottom w:val="single" w:sz="4" w:space="0" w:color="000000"/>
            </w:tcBorders>
            <w:shd w:val="clear" w:color="auto" w:fill="FFFFFF"/>
          </w:tcPr>
          <w:p w:rsidR="00EB54AB" w:rsidRDefault="00EB54AB" w:rsidP="0033464C">
            <w:pPr>
              <w:pStyle w:val="Standard"/>
              <w:widowControl w:val="0"/>
              <w:numPr>
                <w:ilvl w:val="0"/>
                <w:numId w:val="1"/>
              </w:numPr>
              <w:ind w:left="709" w:hanging="709"/>
              <w:jc w:val="both"/>
            </w:pPr>
          </w:p>
        </w:tc>
        <w:tc>
          <w:tcPr>
            <w:tcW w:w="3686" w:type="dxa"/>
            <w:tcBorders>
              <w:top w:val="single" w:sz="4" w:space="0" w:color="000000"/>
              <w:left w:val="single" w:sz="2" w:space="0" w:color="000001"/>
              <w:bottom w:val="single" w:sz="4" w:space="0" w:color="000000"/>
              <w:right w:val="single" w:sz="2" w:space="0" w:color="000001"/>
            </w:tcBorders>
            <w:shd w:val="clear" w:color="auto" w:fill="FFFFFF"/>
          </w:tcPr>
          <w:p w:rsidR="00EB54AB" w:rsidRDefault="00EB54AB" w:rsidP="0033464C">
            <w:pPr>
              <w:pStyle w:val="Standard"/>
              <w:widowControl w:val="0"/>
              <w:jc w:val="both"/>
            </w:pPr>
            <w:r>
              <w:t>Administracinio nurodymo pažymėjimo galiojančiu validacija</w:t>
            </w:r>
          </w:p>
        </w:tc>
        <w:tc>
          <w:tcPr>
            <w:tcW w:w="5386" w:type="dxa"/>
            <w:tcBorders>
              <w:top w:val="single" w:sz="4" w:space="0" w:color="000000"/>
              <w:left w:val="single" w:sz="2" w:space="0" w:color="000001"/>
              <w:bottom w:val="single" w:sz="4" w:space="0" w:color="000000"/>
              <w:right w:val="single" w:sz="4" w:space="0" w:color="000000"/>
            </w:tcBorders>
            <w:shd w:val="clear" w:color="auto" w:fill="FFFFFF"/>
          </w:tcPr>
          <w:p w:rsidR="00EB54AB" w:rsidRDefault="00EB54AB" w:rsidP="0033464C">
            <w:pPr>
              <w:pStyle w:val="Standard"/>
              <w:widowControl w:val="0"/>
              <w:jc w:val="both"/>
            </w:pPr>
            <w:r>
              <w:t>Neleisti pažymėti administracinio nurodymo galiojančiu, kol galioja po jo priimtas kitas procesinis sprendimas (Priimamas nutarimas).</w:t>
            </w:r>
          </w:p>
        </w:tc>
      </w:tr>
      <w:tr w:rsidR="00EB54AB" w:rsidTr="0033464C">
        <w:trPr>
          <w:trHeight w:val="786"/>
        </w:trPr>
        <w:tc>
          <w:tcPr>
            <w:tcW w:w="540" w:type="dxa"/>
            <w:tcBorders>
              <w:top w:val="single" w:sz="4" w:space="0" w:color="000000"/>
              <w:left w:val="single" w:sz="4" w:space="0" w:color="000000"/>
              <w:bottom w:val="single" w:sz="4" w:space="0" w:color="000000"/>
            </w:tcBorders>
            <w:shd w:val="clear" w:color="auto" w:fill="FFFFFF"/>
          </w:tcPr>
          <w:p w:rsidR="00EB54AB" w:rsidRDefault="00EB54AB" w:rsidP="0033464C">
            <w:pPr>
              <w:pStyle w:val="Standard"/>
              <w:widowControl w:val="0"/>
              <w:numPr>
                <w:ilvl w:val="0"/>
                <w:numId w:val="1"/>
              </w:numPr>
              <w:ind w:left="709" w:hanging="709"/>
              <w:jc w:val="both"/>
            </w:pPr>
          </w:p>
        </w:tc>
        <w:tc>
          <w:tcPr>
            <w:tcW w:w="3686" w:type="dxa"/>
            <w:tcBorders>
              <w:top w:val="single" w:sz="4" w:space="0" w:color="000000"/>
              <w:left w:val="single" w:sz="2" w:space="0" w:color="000001"/>
              <w:bottom w:val="single" w:sz="4" w:space="0" w:color="000000"/>
              <w:right w:val="single" w:sz="2" w:space="0" w:color="000001"/>
            </w:tcBorders>
            <w:shd w:val="clear" w:color="auto" w:fill="FFFFFF"/>
          </w:tcPr>
          <w:p w:rsidR="00EB54AB" w:rsidRDefault="00EB54AB" w:rsidP="0033464C">
            <w:pPr>
              <w:pStyle w:val="Standard"/>
              <w:widowControl w:val="0"/>
              <w:jc w:val="both"/>
            </w:pPr>
            <w:r>
              <w:t>Patobulinti pareigūno duomenų paiešką bei atvaizdavimą</w:t>
            </w:r>
          </w:p>
        </w:tc>
        <w:tc>
          <w:tcPr>
            <w:tcW w:w="5386" w:type="dxa"/>
            <w:tcBorders>
              <w:top w:val="single" w:sz="4" w:space="0" w:color="000000"/>
              <w:left w:val="single" w:sz="2" w:space="0" w:color="000001"/>
              <w:bottom w:val="single" w:sz="4" w:space="0" w:color="000000"/>
              <w:right w:val="single" w:sz="4" w:space="0" w:color="000000"/>
            </w:tcBorders>
            <w:shd w:val="clear" w:color="auto" w:fill="FFFFFF"/>
          </w:tcPr>
          <w:p w:rsidR="00EB54AB" w:rsidRDefault="00EB54AB" w:rsidP="0033464C">
            <w:pPr>
              <w:pStyle w:val="Standard"/>
              <w:widowControl w:val="0"/>
              <w:jc w:val="both"/>
            </w:pPr>
            <w:r>
              <w:t>Ieškant pareigūno duomenų, paieška turi veikti ir pagal asmens kodą ir pagal pavardę ar vardą. Registras neturi kreipti dėmesio, ar didžiosiomis ar mažosiomis raidėmis vartotojas suveda paieškos informaciją.</w:t>
            </w:r>
          </w:p>
          <w:p w:rsidR="00EB54AB" w:rsidRDefault="00EB54AB" w:rsidP="0033464C">
            <w:pPr>
              <w:pStyle w:val="Standard"/>
              <w:widowControl w:val="0"/>
              <w:jc w:val="both"/>
            </w:pPr>
            <w:r>
              <w:t>Tuomet, kai pasikeičia pareigūno darbovietė padalinio viduje, ANR turi būti teisingai atvaizduojami pareigūno duomenys.</w:t>
            </w:r>
          </w:p>
        </w:tc>
      </w:tr>
      <w:tr w:rsidR="00EB54AB" w:rsidTr="0033464C">
        <w:trPr>
          <w:trHeight w:val="786"/>
        </w:trPr>
        <w:tc>
          <w:tcPr>
            <w:tcW w:w="540" w:type="dxa"/>
            <w:tcBorders>
              <w:top w:val="single" w:sz="4" w:space="0" w:color="000000"/>
              <w:left w:val="single" w:sz="4" w:space="0" w:color="000000"/>
              <w:bottom w:val="single" w:sz="4" w:space="0" w:color="000000"/>
              <w:right w:val="single" w:sz="4" w:space="0" w:color="000000"/>
            </w:tcBorders>
            <w:shd w:val="clear" w:color="auto" w:fill="FFFFFF"/>
          </w:tcPr>
          <w:p w:rsidR="00EB54AB" w:rsidRDefault="00EB54AB" w:rsidP="0033464C">
            <w:pPr>
              <w:pStyle w:val="Standard"/>
              <w:widowControl w:val="0"/>
              <w:numPr>
                <w:ilvl w:val="0"/>
                <w:numId w:val="1"/>
              </w:numPr>
              <w:ind w:left="709" w:hanging="709"/>
              <w:jc w:val="both"/>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EB54AB" w:rsidRDefault="00EB54AB" w:rsidP="0033464C">
            <w:pPr>
              <w:widowControl w:val="0"/>
              <w:jc w:val="both"/>
            </w:pPr>
            <w:r>
              <w:t>Patobulinti lydraščio formavimą</w:t>
            </w:r>
          </w:p>
        </w:tc>
        <w:tc>
          <w:tcPr>
            <w:tcW w:w="5386" w:type="dxa"/>
            <w:tcBorders>
              <w:top w:val="single" w:sz="4" w:space="0" w:color="000000"/>
              <w:left w:val="single" w:sz="4" w:space="0" w:color="000000"/>
              <w:bottom w:val="single" w:sz="4" w:space="0" w:color="000000"/>
              <w:right w:val="single" w:sz="4" w:space="0" w:color="000000"/>
            </w:tcBorders>
            <w:shd w:val="clear" w:color="auto" w:fill="FFFFFF"/>
          </w:tcPr>
          <w:p w:rsidR="00EB54AB" w:rsidRDefault="00EB54AB" w:rsidP="0033464C">
            <w:pPr>
              <w:widowControl w:val="0"/>
              <w:jc w:val="both"/>
            </w:pPr>
            <w:r>
              <w:t xml:space="preserve">Visus lydraščio rekvizitus ANR turi užpildyti iš ANR nustatymų (Įstaigos pavadinimas, kiti rekvizitai). Atitinkamus duomenis parinktų pagal prisijungusio ANR vartotojo duomenis. Jeigu ANR nustatymuose lydraščio duomenys nesuvesti, ANR vartotojui, bandančiam suformuoti lydraštį turi parodyti suprantamą pranešimą. </w:t>
            </w:r>
          </w:p>
        </w:tc>
      </w:tr>
      <w:tr w:rsidR="00EB54AB" w:rsidTr="0033464C">
        <w:trPr>
          <w:trHeight w:val="786"/>
        </w:trPr>
        <w:tc>
          <w:tcPr>
            <w:tcW w:w="540" w:type="dxa"/>
            <w:tcBorders>
              <w:top w:val="single" w:sz="4" w:space="0" w:color="000000"/>
              <w:left w:val="single" w:sz="4" w:space="0" w:color="000000"/>
              <w:bottom w:val="single" w:sz="4" w:space="0" w:color="000000"/>
            </w:tcBorders>
            <w:shd w:val="clear" w:color="auto" w:fill="FFFFFF"/>
          </w:tcPr>
          <w:p w:rsidR="00EB54AB" w:rsidRDefault="00EB54AB" w:rsidP="0033464C">
            <w:pPr>
              <w:pStyle w:val="Standard"/>
              <w:widowControl w:val="0"/>
              <w:numPr>
                <w:ilvl w:val="0"/>
                <w:numId w:val="1"/>
              </w:numPr>
              <w:ind w:left="709" w:hanging="709"/>
              <w:jc w:val="both"/>
            </w:pPr>
          </w:p>
        </w:tc>
        <w:tc>
          <w:tcPr>
            <w:tcW w:w="3686" w:type="dxa"/>
            <w:tcBorders>
              <w:top w:val="single" w:sz="4" w:space="0" w:color="000000"/>
              <w:left w:val="single" w:sz="2" w:space="0" w:color="000001"/>
              <w:bottom w:val="single" w:sz="4" w:space="0" w:color="000000"/>
              <w:right w:val="single" w:sz="2" w:space="0" w:color="000001"/>
            </w:tcBorders>
            <w:shd w:val="clear" w:color="auto" w:fill="FFFFFF"/>
          </w:tcPr>
          <w:p w:rsidR="00EB54AB" w:rsidRPr="00A34D07" w:rsidRDefault="00EB54AB" w:rsidP="0033464C">
            <w:pPr>
              <w:widowControl w:val="0"/>
              <w:jc w:val="both"/>
            </w:pPr>
            <w:r w:rsidRPr="00A34D07">
              <w:t>Patobulinti darbovietės duomenų atvaizdavimą procesinių sprendimų dokumentuose</w:t>
            </w:r>
          </w:p>
        </w:tc>
        <w:tc>
          <w:tcPr>
            <w:tcW w:w="5386" w:type="dxa"/>
            <w:tcBorders>
              <w:top w:val="single" w:sz="4" w:space="0" w:color="000000"/>
              <w:left w:val="single" w:sz="2" w:space="0" w:color="000001"/>
              <w:bottom w:val="single" w:sz="4" w:space="0" w:color="000000"/>
              <w:right w:val="single" w:sz="4" w:space="0" w:color="000000"/>
            </w:tcBorders>
            <w:shd w:val="clear" w:color="auto" w:fill="FFFFFF"/>
          </w:tcPr>
          <w:p w:rsidR="00EB54AB" w:rsidRPr="00A34D07" w:rsidRDefault="00EB54AB" w:rsidP="0033464C">
            <w:pPr>
              <w:widowControl w:val="0"/>
              <w:jc w:val="both"/>
            </w:pPr>
            <w:r w:rsidRPr="00A34D07">
              <w:t>Procesiniuose sprendimų dokumentuose turi atsivaizduoti darbovietės duomenys tik tuo atveju, jei pažeidėjas yra juridinio asmens vadovas arba kitas atsakingas asmuo.</w:t>
            </w:r>
          </w:p>
        </w:tc>
      </w:tr>
      <w:tr w:rsidR="00EB54AB" w:rsidTr="0033464C">
        <w:trPr>
          <w:trHeight w:val="786"/>
        </w:trPr>
        <w:tc>
          <w:tcPr>
            <w:tcW w:w="540" w:type="dxa"/>
            <w:tcBorders>
              <w:top w:val="single" w:sz="4" w:space="0" w:color="000000"/>
              <w:left w:val="single" w:sz="4" w:space="0" w:color="000000"/>
              <w:bottom w:val="single" w:sz="4" w:space="0" w:color="000000"/>
            </w:tcBorders>
            <w:shd w:val="clear" w:color="auto" w:fill="FFFFFF"/>
          </w:tcPr>
          <w:p w:rsidR="00EB54AB" w:rsidRDefault="00EB54AB" w:rsidP="0033464C">
            <w:pPr>
              <w:pStyle w:val="Standard"/>
              <w:widowControl w:val="0"/>
              <w:numPr>
                <w:ilvl w:val="0"/>
                <w:numId w:val="1"/>
              </w:numPr>
              <w:ind w:left="709" w:hanging="709"/>
              <w:jc w:val="both"/>
            </w:pPr>
          </w:p>
        </w:tc>
        <w:tc>
          <w:tcPr>
            <w:tcW w:w="3686" w:type="dxa"/>
            <w:tcBorders>
              <w:top w:val="single" w:sz="4" w:space="0" w:color="000000"/>
              <w:left w:val="single" w:sz="2" w:space="0" w:color="000001"/>
              <w:bottom w:val="single" w:sz="4" w:space="0" w:color="000000"/>
              <w:right w:val="single" w:sz="2" w:space="0" w:color="000001"/>
            </w:tcBorders>
            <w:shd w:val="clear" w:color="auto" w:fill="FFFFFF"/>
          </w:tcPr>
          <w:p w:rsidR="00EB54AB" w:rsidRDefault="00EB54AB" w:rsidP="0033464C">
            <w:pPr>
              <w:widowControl w:val="0"/>
              <w:jc w:val="both"/>
              <w:rPr>
                <w:highlight w:val="yellow"/>
              </w:rPr>
            </w:pPr>
            <w:r>
              <w:t>Pakeisti TPIS ir TSMPR žiniatinklių, naudojamų ANR autorizacijos būdą</w:t>
            </w:r>
          </w:p>
        </w:tc>
        <w:tc>
          <w:tcPr>
            <w:tcW w:w="5386" w:type="dxa"/>
            <w:tcBorders>
              <w:top w:val="single" w:sz="4" w:space="0" w:color="000000"/>
              <w:left w:val="single" w:sz="2" w:space="0" w:color="000001"/>
              <w:bottom w:val="single" w:sz="4" w:space="0" w:color="000000"/>
              <w:right w:val="single" w:sz="4" w:space="0" w:color="000000"/>
            </w:tcBorders>
            <w:shd w:val="clear" w:color="auto" w:fill="FFFFFF"/>
          </w:tcPr>
          <w:p w:rsidR="00EB54AB" w:rsidRDefault="00EB54AB" w:rsidP="0033464C">
            <w:pPr>
              <w:widowControl w:val="0"/>
              <w:jc w:val="both"/>
            </w:pPr>
            <w:r>
              <w:t xml:space="preserve">Perjungti naudojamų TPIS ir TMPR žiniatinklių (angl. </w:t>
            </w:r>
            <w:r>
              <w:rPr>
                <w:i/>
              </w:rPr>
              <w:t>web-services</w:t>
            </w:r>
            <w:r>
              <w:t>) jungimąsi į OAUTH 2.0 standartizuotą autorizacijos būdą.</w:t>
            </w:r>
          </w:p>
        </w:tc>
      </w:tr>
      <w:tr w:rsidR="00EB54AB" w:rsidRPr="006424FB" w:rsidTr="0033464C">
        <w:trPr>
          <w:trHeight w:val="786"/>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EB54AB" w:rsidRPr="006424FB" w:rsidRDefault="00EB54AB" w:rsidP="0033464C">
            <w:pPr>
              <w:pStyle w:val="Standard"/>
              <w:widowControl w:val="0"/>
              <w:numPr>
                <w:ilvl w:val="0"/>
                <w:numId w:val="1"/>
              </w:numPr>
              <w:ind w:left="709" w:hanging="709"/>
              <w:jc w:val="both"/>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EB54AB" w:rsidRPr="006424FB" w:rsidRDefault="00EB54AB" w:rsidP="0033464C">
            <w:pPr>
              <w:widowControl w:val="0"/>
              <w:jc w:val="both"/>
              <w:rPr>
                <w:bCs/>
              </w:rPr>
            </w:pPr>
            <w:r w:rsidRPr="006424FB">
              <w:rPr>
                <w:bCs/>
              </w:rPr>
              <w:t>Patobulinti sprendimų, kai skiriamas konfiskavimas, funkcionalumą</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EB54AB" w:rsidRPr="006424FB" w:rsidRDefault="00EB54AB" w:rsidP="0033464C">
            <w:pPr>
              <w:widowControl w:val="0"/>
              <w:jc w:val="both"/>
              <w:rPr>
                <w:bCs/>
              </w:rPr>
            </w:pPr>
            <w:r w:rsidRPr="006424FB">
              <w:rPr>
                <w:bCs/>
              </w:rPr>
              <w:t xml:space="preserve">1. Kai kuriais Administracinių nusižengimų kodekso nustatytais atvejais yra įvykdomas administracinis nurodymas yra privaloma skirti daiktų konfiskavimą. ANR turi užtikrinti, kad priėmus tokį nutarimą nepasikeis asmens finansinė būsena bei į pakartotinumo </w:t>
            </w:r>
            <w:r w:rsidRPr="006424FB">
              <w:rPr>
                <w:bCs/>
              </w:rPr>
              <w:lastRenderedPageBreak/>
              <w:t>skaičiavimą ANR ignoruos tokį nutarimą, kuriuo skirtas tik konfiskavimas.</w:t>
            </w:r>
          </w:p>
          <w:p w:rsidR="00EB54AB" w:rsidRPr="006424FB" w:rsidRDefault="00EB54AB" w:rsidP="0033464C">
            <w:pPr>
              <w:widowControl w:val="0"/>
              <w:jc w:val="both"/>
              <w:rPr>
                <w:bCs/>
              </w:rPr>
            </w:pPr>
            <w:r w:rsidRPr="006424FB">
              <w:rPr>
                <w:bCs/>
              </w:rPr>
              <w:t>2. Išnagrinėjus administracinio nusižengimo bylą ir kartu su bauda skiriant konfiskavimą  automatiškai ANR turi užsipildyti konfiskavimo įvykdymo data. Ši data lygi nutarimo įsiteisėjimo datai. Šią datą turi galimybė pakoreguoti ir ANR vartotojas.</w:t>
            </w:r>
          </w:p>
        </w:tc>
      </w:tr>
      <w:tr w:rsidR="00EB54AB" w:rsidTr="0033464C">
        <w:trPr>
          <w:trHeight w:val="786"/>
        </w:trPr>
        <w:tc>
          <w:tcPr>
            <w:tcW w:w="540" w:type="dxa"/>
            <w:tcBorders>
              <w:top w:val="single" w:sz="4" w:space="0" w:color="auto"/>
              <w:left w:val="single" w:sz="4" w:space="0" w:color="000000"/>
              <w:bottom w:val="single" w:sz="4" w:space="0" w:color="000000"/>
            </w:tcBorders>
            <w:shd w:val="clear" w:color="auto" w:fill="FFFFFF"/>
          </w:tcPr>
          <w:p w:rsidR="00EB54AB" w:rsidRDefault="00EB54AB" w:rsidP="0033464C">
            <w:pPr>
              <w:pStyle w:val="Standard"/>
              <w:widowControl w:val="0"/>
              <w:numPr>
                <w:ilvl w:val="0"/>
                <w:numId w:val="1"/>
              </w:numPr>
              <w:ind w:left="709" w:hanging="709"/>
              <w:jc w:val="both"/>
            </w:pPr>
          </w:p>
        </w:tc>
        <w:tc>
          <w:tcPr>
            <w:tcW w:w="3686" w:type="dxa"/>
            <w:tcBorders>
              <w:top w:val="single" w:sz="4" w:space="0" w:color="auto"/>
              <w:left w:val="single" w:sz="2" w:space="0" w:color="000001"/>
              <w:bottom w:val="single" w:sz="4" w:space="0" w:color="000000"/>
              <w:right w:val="single" w:sz="2" w:space="0" w:color="000001"/>
            </w:tcBorders>
            <w:shd w:val="clear" w:color="auto" w:fill="FFFFFF"/>
          </w:tcPr>
          <w:p w:rsidR="00EB54AB" w:rsidRPr="009A7AEF" w:rsidRDefault="00EB54AB" w:rsidP="0033464C">
            <w:pPr>
              <w:widowControl w:val="0"/>
              <w:jc w:val="both"/>
              <w:rPr>
                <w:rFonts w:eastAsia="SimSun, 宋体"/>
                <w:lang w:eastAsia="zh-CN"/>
              </w:rPr>
            </w:pPr>
            <w:r w:rsidRPr="009A7AEF">
              <w:rPr>
                <w:bCs/>
              </w:rPr>
              <w:t>Patobulinti ANR-LITEKO sąsają</w:t>
            </w:r>
          </w:p>
        </w:tc>
        <w:tc>
          <w:tcPr>
            <w:tcW w:w="5386" w:type="dxa"/>
            <w:tcBorders>
              <w:top w:val="single" w:sz="4" w:space="0" w:color="auto"/>
              <w:left w:val="single" w:sz="2" w:space="0" w:color="000001"/>
              <w:bottom w:val="single" w:sz="4" w:space="0" w:color="000000"/>
              <w:right w:val="single" w:sz="4" w:space="0" w:color="000000"/>
            </w:tcBorders>
            <w:shd w:val="clear" w:color="auto" w:fill="FFFFFF"/>
          </w:tcPr>
          <w:p w:rsidR="00EB54AB" w:rsidRPr="009A7AEF" w:rsidRDefault="00EB54AB" w:rsidP="0033464C">
            <w:pPr>
              <w:widowControl w:val="0"/>
              <w:rPr>
                <w:bCs/>
              </w:rPr>
            </w:pPr>
            <w:r w:rsidRPr="009A7AEF">
              <w:rPr>
                <w:bCs/>
              </w:rPr>
              <w:t xml:space="preserve">Šiuo metu per ANR </w:t>
            </w:r>
            <w:r>
              <w:rPr>
                <w:bCs/>
              </w:rPr>
              <w:t>–</w:t>
            </w:r>
            <w:r w:rsidRPr="009A7AEF">
              <w:rPr>
                <w:bCs/>
              </w:rPr>
              <w:t xml:space="preserve"> LITEKO sąsają ne</w:t>
            </w:r>
            <w:r>
              <w:rPr>
                <w:bCs/>
              </w:rPr>
              <w:t xml:space="preserve"> </w:t>
            </w:r>
            <w:r w:rsidRPr="009A7AEF">
              <w:rPr>
                <w:bCs/>
              </w:rPr>
              <w:t>vis</w:t>
            </w:r>
            <w:r>
              <w:rPr>
                <w:bCs/>
              </w:rPr>
              <w:t>ada</w:t>
            </w:r>
            <w:r w:rsidRPr="009A7AEF">
              <w:rPr>
                <w:bCs/>
              </w:rPr>
              <w:t xml:space="preserve"> išsiunčiami dokumentai į teismus. Patobulinimo metu turi būti nustatytos klaidos ir jos ištaisytos. Dokumentai turi būti išsiunčiami visada visiems teismams.</w:t>
            </w:r>
          </w:p>
        </w:tc>
      </w:tr>
      <w:tr w:rsidR="00EB54AB" w:rsidTr="0033464C">
        <w:trPr>
          <w:trHeight w:val="786"/>
        </w:trPr>
        <w:tc>
          <w:tcPr>
            <w:tcW w:w="540" w:type="dxa"/>
            <w:tcBorders>
              <w:top w:val="single" w:sz="4" w:space="0" w:color="auto"/>
              <w:left w:val="single" w:sz="4" w:space="0" w:color="000000"/>
              <w:bottom w:val="single" w:sz="4" w:space="0" w:color="000000"/>
            </w:tcBorders>
            <w:shd w:val="clear" w:color="auto" w:fill="FFFFFF"/>
          </w:tcPr>
          <w:p w:rsidR="00EB54AB" w:rsidRDefault="00EB54AB" w:rsidP="0033464C">
            <w:pPr>
              <w:pStyle w:val="Standard"/>
              <w:widowControl w:val="0"/>
              <w:numPr>
                <w:ilvl w:val="0"/>
                <w:numId w:val="1"/>
              </w:numPr>
              <w:ind w:left="709" w:hanging="709"/>
              <w:jc w:val="both"/>
            </w:pPr>
          </w:p>
        </w:tc>
        <w:tc>
          <w:tcPr>
            <w:tcW w:w="3686" w:type="dxa"/>
            <w:tcBorders>
              <w:top w:val="single" w:sz="4" w:space="0" w:color="auto"/>
              <w:left w:val="single" w:sz="2" w:space="0" w:color="000001"/>
              <w:bottom w:val="single" w:sz="4" w:space="0" w:color="000000"/>
              <w:right w:val="single" w:sz="2" w:space="0" w:color="000001"/>
            </w:tcBorders>
            <w:shd w:val="clear" w:color="auto" w:fill="FFFFFF"/>
          </w:tcPr>
          <w:p w:rsidR="00EB54AB" w:rsidRPr="009A7AEF" w:rsidRDefault="00EB54AB" w:rsidP="0033464C">
            <w:pPr>
              <w:widowControl w:val="0"/>
              <w:jc w:val="both"/>
              <w:rPr>
                <w:bCs/>
              </w:rPr>
            </w:pPr>
            <w:r>
              <w:rPr>
                <w:bCs/>
              </w:rPr>
              <w:t>Patobulinti ANR ir ADMINIII integracinę sąsają</w:t>
            </w:r>
          </w:p>
        </w:tc>
        <w:tc>
          <w:tcPr>
            <w:tcW w:w="5386" w:type="dxa"/>
            <w:tcBorders>
              <w:top w:val="single" w:sz="4" w:space="0" w:color="auto"/>
              <w:left w:val="single" w:sz="2" w:space="0" w:color="000001"/>
              <w:bottom w:val="single" w:sz="4" w:space="0" w:color="000000"/>
              <w:right w:val="single" w:sz="4" w:space="0" w:color="000000"/>
            </w:tcBorders>
            <w:shd w:val="clear" w:color="auto" w:fill="FFFFFF"/>
          </w:tcPr>
          <w:p w:rsidR="00EB54AB" w:rsidRDefault="00EB54AB" w:rsidP="0033464C">
            <w:pPr>
              <w:widowControl w:val="0"/>
              <w:jc w:val="both"/>
              <w:rPr>
                <w:bCs/>
              </w:rPr>
            </w:pPr>
            <w:r>
              <w:rPr>
                <w:bCs/>
              </w:rPr>
              <w:t>Patobulinti ANR ir ADMINIII integracinę sąsają pakeičiant ANR naudojamus ADMINIII REST servisus 1versijos į 2-os versijos servisus.</w:t>
            </w:r>
          </w:p>
          <w:p w:rsidR="00EB54AB" w:rsidRPr="009A7AEF" w:rsidRDefault="00EB54AB" w:rsidP="0033464C">
            <w:pPr>
              <w:widowControl w:val="0"/>
              <w:jc w:val="both"/>
              <w:rPr>
                <w:bCs/>
              </w:rPr>
            </w:pPr>
            <w:r>
              <w:rPr>
                <w:bCs/>
              </w:rPr>
              <w:t>ANR turi leisti prisijungti naudotojui, registruotam kaip įstaigai. Toks naudotojas turėtų galimybę formuoti ANR automatinio proceso metu naudojamus AN protokolo ir pranešimų šablonus.</w:t>
            </w:r>
          </w:p>
        </w:tc>
      </w:tr>
      <w:tr w:rsidR="00EB54AB" w:rsidTr="0033464C">
        <w:trPr>
          <w:trHeight w:val="786"/>
        </w:trPr>
        <w:tc>
          <w:tcPr>
            <w:tcW w:w="540" w:type="dxa"/>
            <w:tcBorders>
              <w:top w:val="single" w:sz="4" w:space="0" w:color="auto"/>
              <w:left w:val="single" w:sz="4" w:space="0" w:color="000000"/>
              <w:bottom w:val="single" w:sz="4" w:space="0" w:color="000000"/>
            </w:tcBorders>
            <w:shd w:val="clear" w:color="auto" w:fill="FFFFFF"/>
          </w:tcPr>
          <w:p w:rsidR="00EB54AB" w:rsidRDefault="00EB54AB" w:rsidP="0033464C">
            <w:pPr>
              <w:pStyle w:val="Standard"/>
              <w:widowControl w:val="0"/>
              <w:numPr>
                <w:ilvl w:val="0"/>
                <w:numId w:val="1"/>
              </w:numPr>
              <w:ind w:left="709" w:hanging="709"/>
              <w:jc w:val="both"/>
            </w:pPr>
          </w:p>
        </w:tc>
        <w:tc>
          <w:tcPr>
            <w:tcW w:w="3686" w:type="dxa"/>
            <w:tcBorders>
              <w:top w:val="single" w:sz="4" w:space="0" w:color="auto"/>
              <w:left w:val="single" w:sz="2" w:space="0" w:color="000001"/>
              <w:bottom w:val="single" w:sz="4" w:space="0" w:color="000000"/>
              <w:right w:val="single" w:sz="2" w:space="0" w:color="000001"/>
            </w:tcBorders>
            <w:shd w:val="clear" w:color="auto" w:fill="FFFFFF"/>
          </w:tcPr>
          <w:p w:rsidR="00EB54AB" w:rsidRDefault="00EB54AB" w:rsidP="0033464C">
            <w:pPr>
              <w:widowControl w:val="0"/>
              <w:jc w:val="both"/>
              <w:rPr>
                <w:bCs/>
              </w:rPr>
            </w:pPr>
            <w:r>
              <w:rPr>
                <w:bCs/>
              </w:rPr>
              <w:t>Įdiegti į darbinę aplinką VMI Mokestinės paskolos sutarties (MPS) duomenų gavimą</w:t>
            </w:r>
          </w:p>
        </w:tc>
        <w:tc>
          <w:tcPr>
            <w:tcW w:w="5386" w:type="dxa"/>
            <w:tcBorders>
              <w:top w:val="single" w:sz="4" w:space="0" w:color="auto"/>
              <w:left w:val="single" w:sz="2" w:space="0" w:color="000001"/>
              <w:bottom w:val="single" w:sz="4" w:space="0" w:color="000000"/>
              <w:right w:val="single" w:sz="4" w:space="0" w:color="000000"/>
            </w:tcBorders>
            <w:shd w:val="clear" w:color="auto" w:fill="FFFFFF"/>
          </w:tcPr>
          <w:p w:rsidR="00EB54AB" w:rsidRDefault="00EB54AB" w:rsidP="0033464C">
            <w:pPr>
              <w:widowControl w:val="0"/>
              <w:jc w:val="both"/>
              <w:rPr>
                <w:bCs/>
              </w:rPr>
            </w:pPr>
            <w:r>
              <w:rPr>
                <w:bCs/>
              </w:rPr>
              <w:t>Ištestuoti ir įdiegti į darbinę ANR aplinką pakeitimus, susijusius su MPS duomenų gavimu pagal ANR-MAIS specifikaciją (v18).</w:t>
            </w:r>
          </w:p>
        </w:tc>
      </w:tr>
      <w:tr w:rsidR="00EB54AB" w:rsidRPr="00F256AE" w:rsidTr="0033464C">
        <w:trPr>
          <w:trHeight w:val="786"/>
        </w:trPr>
        <w:tc>
          <w:tcPr>
            <w:tcW w:w="540" w:type="dxa"/>
            <w:tcBorders>
              <w:top w:val="single" w:sz="4" w:space="0" w:color="auto"/>
              <w:left w:val="single" w:sz="4" w:space="0" w:color="000000"/>
              <w:bottom w:val="single" w:sz="4" w:space="0" w:color="000000"/>
            </w:tcBorders>
            <w:shd w:val="clear" w:color="auto" w:fill="FFFFFF"/>
          </w:tcPr>
          <w:p w:rsidR="00EB54AB" w:rsidRPr="00243BCC" w:rsidRDefault="00EB54AB" w:rsidP="0033464C">
            <w:pPr>
              <w:pStyle w:val="Standard"/>
              <w:widowControl w:val="0"/>
              <w:numPr>
                <w:ilvl w:val="0"/>
                <w:numId w:val="1"/>
              </w:numPr>
              <w:ind w:left="709" w:hanging="709"/>
              <w:jc w:val="both"/>
            </w:pPr>
          </w:p>
        </w:tc>
        <w:tc>
          <w:tcPr>
            <w:tcW w:w="3686" w:type="dxa"/>
            <w:tcBorders>
              <w:top w:val="single" w:sz="4" w:space="0" w:color="auto"/>
              <w:left w:val="single" w:sz="2" w:space="0" w:color="000001"/>
              <w:bottom w:val="single" w:sz="4" w:space="0" w:color="000000"/>
              <w:right w:val="single" w:sz="2" w:space="0" w:color="000001"/>
            </w:tcBorders>
            <w:shd w:val="clear" w:color="auto" w:fill="FFFFFF"/>
          </w:tcPr>
          <w:p w:rsidR="00EB54AB" w:rsidRPr="00243BCC" w:rsidRDefault="00EB54AB" w:rsidP="0033464C">
            <w:pPr>
              <w:widowControl w:val="0"/>
              <w:jc w:val="both"/>
              <w:rPr>
                <w:bCs/>
              </w:rPr>
            </w:pPr>
            <w:r>
              <w:rPr>
                <w:bCs/>
              </w:rPr>
              <w:t>Registro PĮ</w:t>
            </w:r>
            <w:r w:rsidRPr="00243BCC">
              <w:rPr>
                <w:bCs/>
              </w:rPr>
              <w:t xml:space="preserve"> priežiūros paslaugos užsakytiems pakeitimams ir patobulinimams atlikti (pagal paslaugų valandinį įkainį)</w:t>
            </w:r>
          </w:p>
        </w:tc>
        <w:tc>
          <w:tcPr>
            <w:tcW w:w="5386" w:type="dxa"/>
            <w:tcBorders>
              <w:top w:val="single" w:sz="4" w:space="0" w:color="auto"/>
              <w:left w:val="single" w:sz="2" w:space="0" w:color="000001"/>
              <w:bottom w:val="single" w:sz="4" w:space="0" w:color="000000"/>
              <w:right w:val="single" w:sz="4" w:space="0" w:color="000000"/>
            </w:tcBorders>
            <w:shd w:val="clear" w:color="auto" w:fill="FFFFFF"/>
          </w:tcPr>
          <w:p w:rsidR="00EB54AB" w:rsidRPr="00243BCC" w:rsidRDefault="00EB54AB" w:rsidP="0033464C">
            <w:pPr>
              <w:widowControl w:val="0"/>
              <w:jc w:val="both"/>
              <w:rPr>
                <w:bCs/>
              </w:rPr>
            </w:pPr>
            <w:r w:rsidRPr="00243BCC">
              <w:rPr>
                <w:bCs/>
              </w:rPr>
              <w:t xml:space="preserve">Sutarties galiojimo metu </w:t>
            </w:r>
            <w:r>
              <w:rPr>
                <w:bCs/>
              </w:rPr>
              <w:t>tie</w:t>
            </w:r>
            <w:r w:rsidRPr="00243BCC">
              <w:rPr>
                <w:bCs/>
              </w:rPr>
              <w:t xml:space="preserve">kėjas turi suteikti </w:t>
            </w:r>
            <w:r>
              <w:rPr>
                <w:bCs/>
              </w:rPr>
              <w:t>Registro</w:t>
            </w:r>
            <w:r w:rsidRPr="00243BCC">
              <w:rPr>
                <w:bCs/>
              </w:rPr>
              <w:t xml:space="preserve"> programinės įrangos priežiūros paslaugas užsakytiems pakeitimams ir patobulinimams atlikti, susijusiais su teisės aktų, reglamentuojančių </w:t>
            </w:r>
            <w:r>
              <w:rPr>
                <w:bCs/>
              </w:rPr>
              <w:t>Registro</w:t>
            </w:r>
            <w:r w:rsidRPr="00243BCC">
              <w:rPr>
                <w:bCs/>
              </w:rPr>
              <w:t xml:space="preserve"> veiklą, pakeitimais, taip pat apimančias </w:t>
            </w:r>
            <w:r>
              <w:rPr>
                <w:bCs/>
              </w:rPr>
              <w:t>Registro</w:t>
            </w:r>
            <w:r w:rsidRPr="00243BCC">
              <w:rPr>
                <w:bCs/>
              </w:rPr>
              <w:t xml:space="preserve"> </w:t>
            </w:r>
            <w:r>
              <w:rPr>
                <w:bCs/>
              </w:rPr>
              <w:t>PĮ</w:t>
            </w:r>
            <w:r w:rsidRPr="00243BCC">
              <w:rPr>
                <w:bCs/>
              </w:rPr>
              <w:t xml:space="preserve"> veikimo klaidų ir problemų, atsiradusių dėl </w:t>
            </w:r>
            <w:r>
              <w:rPr>
                <w:bCs/>
              </w:rPr>
              <w:t>perkančiosios organizacijos</w:t>
            </w:r>
            <w:r w:rsidRPr="00243BCC">
              <w:rPr>
                <w:bCs/>
              </w:rPr>
              <w:t xml:space="preserve"> kaltės (klaidingai įvestų duomenų, klaidingai įvykdyto veiksmo ar kitokių klaidingų atvejų) šalinimą; </w:t>
            </w:r>
            <w:r>
              <w:rPr>
                <w:bCs/>
              </w:rPr>
              <w:t>Registro</w:t>
            </w:r>
            <w:r w:rsidRPr="00243BCC">
              <w:rPr>
                <w:bCs/>
              </w:rPr>
              <w:t xml:space="preserve"> duomenų bazės tvarkymą, optimizuojant sistemos darbą; taikomosios programinės įrangos optimizavimo darbus (indeksų analizavimas, naujų indeksų kūrimas, programinės įrangos modifikavimas užtikrinant efektyvų jos veikimą); </w:t>
            </w:r>
            <w:r>
              <w:rPr>
                <w:bCs/>
              </w:rPr>
              <w:t>Registro</w:t>
            </w:r>
            <w:r w:rsidRPr="00243BCC">
              <w:rPr>
                <w:bCs/>
              </w:rPr>
              <w:t xml:space="preserve"> veikimui reikalingos programinės įrangos ir tarpusavio sąsajų tvarkymą; </w:t>
            </w:r>
            <w:r>
              <w:rPr>
                <w:bCs/>
              </w:rPr>
              <w:t>Registro</w:t>
            </w:r>
            <w:r w:rsidRPr="00243BCC">
              <w:rPr>
                <w:bCs/>
              </w:rPr>
              <w:t xml:space="preserve"> administratorių konsultavimą (telefonu, elektroniniu paštu) dėl </w:t>
            </w:r>
            <w:r>
              <w:rPr>
                <w:bCs/>
              </w:rPr>
              <w:t>registro</w:t>
            </w:r>
            <w:r w:rsidRPr="00243BCC">
              <w:rPr>
                <w:bCs/>
              </w:rPr>
              <w:t xml:space="preserve"> nepertraukiamo veikimo ir pagalbos teikimą sprendžiant problemas</w:t>
            </w:r>
            <w:r>
              <w:rPr>
                <w:bCs/>
              </w:rPr>
              <w:t>.</w:t>
            </w:r>
            <w:r w:rsidRPr="00243BCC">
              <w:rPr>
                <w:bCs/>
              </w:rPr>
              <w:t xml:space="preserve"> </w:t>
            </w:r>
          </w:p>
          <w:p w:rsidR="00EB54AB" w:rsidRPr="00243BCC" w:rsidRDefault="00EB54AB" w:rsidP="0033464C">
            <w:pPr>
              <w:widowControl w:val="0"/>
              <w:jc w:val="both"/>
              <w:rPr>
                <w:bCs/>
              </w:rPr>
            </w:pPr>
            <w:r w:rsidRPr="00243BCC">
              <w:rPr>
                <w:bCs/>
              </w:rPr>
              <w:t xml:space="preserve">Nurodytos paslaugos perkamos pagal </w:t>
            </w:r>
            <w:r>
              <w:rPr>
                <w:bCs/>
              </w:rPr>
              <w:t>perkančiosios organizacijos</w:t>
            </w:r>
            <w:r w:rsidRPr="00243BCC">
              <w:rPr>
                <w:bCs/>
              </w:rPr>
              <w:t xml:space="preserve"> poreikį, </w:t>
            </w:r>
            <w:r>
              <w:rPr>
                <w:bCs/>
              </w:rPr>
              <w:t>tie</w:t>
            </w:r>
            <w:r w:rsidRPr="00243BCC">
              <w:rPr>
                <w:bCs/>
              </w:rPr>
              <w:t>kėjui pateikus raštišką paslaugų užsakymą arba pagal t</w:t>
            </w:r>
            <w:r>
              <w:rPr>
                <w:bCs/>
              </w:rPr>
              <w:t>ie</w:t>
            </w:r>
            <w:r w:rsidRPr="00243BCC">
              <w:rPr>
                <w:bCs/>
              </w:rPr>
              <w:t xml:space="preserve">kėjo pateiktą suteiktų </w:t>
            </w:r>
            <w:r>
              <w:rPr>
                <w:bCs/>
              </w:rPr>
              <w:t>Registro</w:t>
            </w:r>
            <w:r w:rsidRPr="00243BCC">
              <w:rPr>
                <w:bCs/>
              </w:rPr>
              <w:t xml:space="preserve"> sutrikimų šalinimo ir konsultavimo paslaugų ataskaitą. Kiekviename užsakyme gali būti užsakoma viena ar daugiau paslaugų. Po paslaugos užsakymo pateikimo</w:t>
            </w:r>
            <w:r>
              <w:rPr>
                <w:bCs/>
              </w:rPr>
              <w:t>,</w:t>
            </w:r>
            <w:r w:rsidRPr="00243BCC">
              <w:rPr>
                <w:bCs/>
              </w:rPr>
              <w:t xml:space="preserve"> t</w:t>
            </w:r>
            <w:r>
              <w:rPr>
                <w:bCs/>
              </w:rPr>
              <w:t>ie</w:t>
            </w:r>
            <w:r w:rsidRPr="00243BCC">
              <w:rPr>
                <w:bCs/>
              </w:rPr>
              <w:t>kėj</w:t>
            </w:r>
            <w:r>
              <w:rPr>
                <w:bCs/>
              </w:rPr>
              <w:t>as</w:t>
            </w:r>
            <w:r w:rsidRPr="00243BCC">
              <w:rPr>
                <w:bCs/>
              </w:rPr>
              <w:t xml:space="preserve"> turi atlikti vertinimą, kiek specialistų darbo valandų reikalinga užsakymui įvykdyti, atskirai nurodant kiekvienos užsakymo dalies valandų kiekius. Taip pat nurodomas užsakymo </w:t>
            </w:r>
            <w:r w:rsidRPr="00243BCC">
              <w:rPr>
                <w:bCs/>
              </w:rPr>
              <w:lastRenderedPageBreak/>
              <w:t xml:space="preserve">įvykdymo terminas, nurodant kiekvienai užsakymo daliai atskirai. Užsakymo vertinimas turi būti atliktas per 5 (penkias) darbo dienas. Po vertinimo </w:t>
            </w:r>
            <w:r>
              <w:rPr>
                <w:bCs/>
              </w:rPr>
              <w:t>perkančioji organizacija</w:t>
            </w:r>
            <w:r w:rsidRPr="00243BCC">
              <w:rPr>
                <w:bCs/>
              </w:rPr>
              <w:t xml:space="preserve"> gali patvirtinti užsakymą, patvirtinti dalinai, nurodydamas dalis, kurios bus vykdomos, ar nutraukti užsakymo vykdymą. Patvirtinti užsakymai pradedami vykdyti, laikantis vertinime nurodytų terminų. Visi užsakymo derinimo etapai vykdomi raštu arba elektroniniu būdu.</w:t>
            </w:r>
          </w:p>
          <w:p w:rsidR="00EB54AB" w:rsidRPr="00243BCC" w:rsidRDefault="00EB54AB" w:rsidP="0033464C">
            <w:pPr>
              <w:widowControl w:val="0"/>
              <w:jc w:val="both"/>
              <w:rPr>
                <w:bCs/>
              </w:rPr>
            </w:pPr>
            <w:r w:rsidRPr="00243BCC">
              <w:rPr>
                <w:bCs/>
              </w:rPr>
              <w:t>Paslaugos gali būti užsakomos iki pirkimo sutarties pabaigos likus ne mažiau kaip 60 (šešiasdešimt) kalendorinių dienų.</w:t>
            </w:r>
          </w:p>
          <w:p w:rsidR="00EB54AB" w:rsidRPr="00243BCC" w:rsidRDefault="00EB54AB" w:rsidP="0033464C">
            <w:pPr>
              <w:widowControl w:val="0"/>
              <w:jc w:val="both"/>
              <w:rPr>
                <w:bCs/>
              </w:rPr>
            </w:pPr>
            <w:r w:rsidRPr="00243BCC">
              <w:rPr>
                <w:bCs/>
              </w:rPr>
              <w:t xml:space="preserve">Už suteiktas paslaugas apmokama pagal </w:t>
            </w:r>
            <w:r>
              <w:rPr>
                <w:bCs/>
              </w:rPr>
              <w:t>tie</w:t>
            </w:r>
            <w:r w:rsidRPr="00243BCC">
              <w:rPr>
                <w:bCs/>
              </w:rPr>
              <w:t xml:space="preserve">kėjo pasiūlyme nurodytą fiksuotą </w:t>
            </w:r>
            <w:r>
              <w:rPr>
                <w:bCs/>
              </w:rPr>
              <w:t>Registro</w:t>
            </w:r>
            <w:r w:rsidRPr="00243BCC">
              <w:rPr>
                <w:bCs/>
              </w:rPr>
              <w:t xml:space="preserve"> priežiūros paslaugų įkainį (pagal paslaugų teikimo laiką).</w:t>
            </w:r>
          </w:p>
        </w:tc>
      </w:tr>
    </w:tbl>
    <w:p w:rsidR="00EB54AB" w:rsidRDefault="00EB54AB" w:rsidP="00EB54AB">
      <w:pPr>
        <w:pStyle w:val="Standard"/>
        <w:jc w:val="both"/>
        <w:rPr>
          <w:rFonts w:ascii="Times New Roman" w:hAnsi="Times New Roman"/>
        </w:rPr>
      </w:pPr>
    </w:p>
    <w:p w:rsidR="00EB54AB" w:rsidRPr="009A7AEF" w:rsidRDefault="00EB54AB" w:rsidP="00EB54AB">
      <w:pPr>
        <w:keepNext/>
        <w:keepLines/>
        <w:numPr>
          <w:ilvl w:val="0"/>
          <w:numId w:val="2"/>
        </w:numPr>
        <w:suppressAutoHyphens w:val="0"/>
        <w:spacing w:line="252" w:lineRule="auto"/>
        <w:ind w:left="0"/>
        <w:contextualSpacing/>
        <w:jc w:val="center"/>
        <w:textAlignment w:val="auto"/>
        <w:outlineLvl w:val="1"/>
        <w:rPr>
          <w:rFonts w:eastAsiaTheme="minorEastAsia"/>
          <w:b/>
          <w:kern w:val="0"/>
          <w:lang w:eastAsia="en-US" w:bidi="ar-SA"/>
        </w:rPr>
      </w:pPr>
      <w:r w:rsidRPr="009A7AEF">
        <w:rPr>
          <w:rFonts w:eastAsiaTheme="minorEastAsia"/>
          <w:b/>
          <w:kern w:val="0"/>
          <w:lang w:eastAsia="en-US" w:bidi="ar-SA"/>
        </w:rPr>
        <w:t xml:space="preserve">KITI NEFUNKCINIAI REIKALAVIMAI </w:t>
      </w:r>
    </w:p>
    <w:p w:rsidR="00EB54AB" w:rsidRPr="009A7AEF" w:rsidRDefault="00EB54AB" w:rsidP="00EB54AB">
      <w:pPr>
        <w:keepNext/>
        <w:keepLines/>
        <w:suppressAutoHyphens w:val="0"/>
        <w:spacing w:line="252" w:lineRule="auto"/>
        <w:contextualSpacing/>
        <w:jc w:val="center"/>
        <w:textAlignment w:val="auto"/>
        <w:outlineLvl w:val="1"/>
        <w:rPr>
          <w:rFonts w:eastAsiaTheme="minorEastAsia"/>
          <w:b/>
          <w:kern w:val="0"/>
          <w:lang w:eastAsia="en-US" w:bidi="ar-SA"/>
        </w:rPr>
      </w:pPr>
      <w:r w:rsidRPr="009A7AEF">
        <w:rPr>
          <w:rFonts w:eastAsiaTheme="minorEastAsia"/>
          <w:b/>
          <w:kern w:val="0"/>
          <w:lang w:eastAsia="en-US" w:bidi="ar-SA"/>
        </w:rPr>
        <w:t>ANR PĮ MODIFIKAVIMUI IR PRIEŽIŪRAI</w:t>
      </w:r>
    </w:p>
    <w:p w:rsidR="00EB54AB" w:rsidRPr="009A7AEF" w:rsidRDefault="00EB54AB" w:rsidP="00EB54AB">
      <w:pPr>
        <w:jc w:val="both"/>
        <w:rPr>
          <w:rFonts w:eastAsiaTheme="minorEastAsia"/>
          <w:b/>
          <w:kern w:val="0"/>
          <w:lang w:eastAsia="en-US" w:bidi="ar-SA"/>
        </w:rPr>
      </w:pPr>
    </w:p>
    <w:p w:rsidR="00EB54AB" w:rsidRDefault="00EB54AB" w:rsidP="00EB54AB">
      <w:pPr>
        <w:numPr>
          <w:ilvl w:val="0"/>
          <w:numId w:val="11"/>
        </w:numPr>
        <w:ind w:left="0" w:firstLine="680"/>
        <w:jc w:val="both"/>
        <w:textAlignment w:val="auto"/>
        <w:rPr>
          <w:rFonts w:eastAsiaTheme="minorEastAsia"/>
          <w:b/>
          <w:kern w:val="0"/>
          <w:lang w:eastAsia="en-US" w:bidi="ar-SA"/>
        </w:rPr>
      </w:pPr>
      <w:r>
        <w:rPr>
          <w:rFonts w:eastAsiaTheme="minorEastAsia"/>
          <w:b/>
          <w:kern w:val="0"/>
          <w:lang w:eastAsia="en-US" w:bidi="ar-SA"/>
        </w:rPr>
        <w:t>Reikalavimai dokumentacijai ir išeities tekstams</w:t>
      </w:r>
    </w:p>
    <w:p w:rsidR="00EB54AB" w:rsidRDefault="00EB54AB" w:rsidP="00EB54AB">
      <w:pPr>
        <w:numPr>
          <w:ilvl w:val="0"/>
          <w:numId w:val="12"/>
        </w:numPr>
        <w:ind w:left="0" w:firstLine="680"/>
        <w:jc w:val="both"/>
        <w:textAlignment w:val="auto"/>
        <w:rPr>
          <w:rFonts w:eastAsiaTheme="minorEastAsia"/>
          <w:kern w:val="0"/>
          <w:lang w:eastAsia="en-US" w:bidi="ar-SA"/>
        </w:rPr>
      </w:pPr>
      <w:r>
        <w:rPr>
          <w:rFonts w:eastAsiaTheme="minorEastAsia"/>
          <w:kern w:val="0"/>
          <w:lang w:eastAsia="en-US" w:bidi="ar-SA"/>
        </w:rPr>
        <w:t>Tiekėjas visą dokumentaciją turi parengti pagal bendrinės lietuvių kalbos taisykles.</w:t>
      </w:r>
    </w:p>
    <w:p w:rsidR="00EB54AB" w:rsidRDefault="00EB54AB" w:rsidP="00EB54AB">
      <w:pPr>
        <w:numPr>
          <w:ilvl w:val="0"/>
          <w:numId w:val="12"/>
        </w:numPr>
        <w:ind w:left="0" w:firstLine="680"/>
        <w:jc w:val="both"/>
        <w:textAlignment w:val="auto"/>
        <w:rPr>
          <w:rFonts w:eastAsiaTheme="minorEastAsia"/>
          <w:kern w:val="0"/>
          <w:lang w:eastAsia="en-US" w:bidi="ar-SA"/>
        </w:rPr>
      </w:pPr>
      <w:r>
        <w:rPr>
          <w:rFonts w:eastAsiaTheme="minorEastAsia"/>
          <w:kern w:val="0"/>
          <w:lang w:eastAsia="en-US" w:bidi="ar-SA"/>
        </w:rPr>
        <w:t xml:space="preserve">Tiekėjas dokumentų galutines versijas turi pateikti šiais formatais: elektroniniu (MS Word, </w:t>
      </w:r>
      <w:r>
        <w:t>Visio</w:t>
      </w:r>
      <w:r w:rsidRPr="00B429B5">
        <w:t xml:space="preserve"> arba kitu </w:t>
      </w:r>
      <w:r>
        <w:rPr>
          <w:rFonts w:eastAsiaTheme="minorEastAsia"/>
          <w:kern w:val="0"/>
          <w:lang w:eastAsia="en-US" w:bidi="ar-SA"/>
        </w:rPr>
        <w:t>lygiagrečiu, su IRD suderintu formatu). Jų preliminarios (projektinės) versijos pateikiamos elektroniniu formatu.</w:t>
      </w:r>
    </w:p>
    <w:p w:rsidR="00EB54AB" w:rsidRDefault="00EB54AB" w:rsidP="00EB54AB">
      <w:pPr>
        <w:numPr>
          <w:ilvl w:val="0"/>
          <w:numId w:val="12"/>
        </w:numPr>
        <w:ind w:left="0" w:firstLine="680"/>
        <w:jc w:val="both"/>
        <w:textAlignment w:val="auto"/>
        <w:rPr>
          <w:rFonts w:eastAsiaTheme="minorEastAsia"/>
          <w:kern w:val="0"/>
          <w:lang w:eastAsia="en-US" w:bidi="ar-SA"/>
        </w:rPr>
      </w:pPr>
      <w:r>
        <w:rPr>
          <w:rFonts w:eastAsiaTheme="minorEastAsia"/>
          <w:kern w:val="0"/>
          <w:lang w:eastAsia="en-US" w:bidi="ar-SA"/>
        </w:rPr>
        <w:t>Tiekėjas turės parengti arba atnaujinti žemiau nurodytą dokumentaciją:</w:t>
      </w:r>
    </w:p>
    <w:p w:rsidR="00EB54AB" w:rsidRDefault="00EB54AB" w:rsidP="00EB54AB">
      <w:pPr>
        <w:numPr>
          <w:ilvl w:val="0"/>
          <w:numId w:val="13"/>
        </w:numPr>
        <w:ind w:left="0" w:firstLine="680"/>
        <w:jc w:val="both"/>
        <w:textAlignment w:val="auto"/>
        <w:rPr>
          <w:rFonts w:eastAsiaTheme="minorEastAsia"/>
          <w:kern w:val="0"/>
          <w:lang w:eastAsia="en-US" w:bidi="ar-SA"/>
        </w:rPr>
      </w:pPr>
      <w:r>
        <w:rPr>
          <w:rFonts w:eastAsiaTheme="minorEastAsia"/>
          <w:kern w:val="0"/>
          <w:lang w:eastAsia="en-US" w:bidi="ar-SA"/>
        </w:rPr>
        <w:t>Funkcinių reikalavimų specifikaciją;</w:t>
      </w:r>
    </w:p>
    <w:p w:rsidR="00EB54AB" w:rsidRDefault="00EB54AB" w:rsidP="00EB54AB">
      <w:pPr>
        <w:numPr>
          <w:ilvl w:val="0"/>
          <w:numId w:val="13"/>
        </w:numPr>
        <w:ind w:left="0" w:firstLine="680"/>
        <w:jc w:val="both"/>
        <w:textAlignment w:val="auto"/>
        <w:rPr>
          <w:rFonts w:eastAsiaTheme="minorEastAsia"/>
          <w:kern w:val="0"/>
          <w:lang w:eastAsia="en-US" w:bidi="ar-SA"/>
        </w:rPr>
      </w:pPr>
      <w:r>
        <w:rPr>
          <w:rFonts w:eastAsiaTheme="minorEastAsia"/>
          <w:kern w:val="0"/>
          <w:lang w:eastAsia="en-US" w:bidi="ar-SA"/>
        </w:rPr>
        <w:t>ANR naudotojo vadovą;</w:t>
      </w:r>
    </w:p>
    <w:p w:rsidR="00EB54AB" w:rsidRDefault="00EB54AB" w:rsidP="00EB54AB">
      <w:pPr>
        <w:numPr>
          <w:ilvl w:val="0"/>
          <w:numId w:val="13"/>
        </w:numPr>
        <w:ind w:left="0" w:firstLine="680"/>
        <w:jc w:val="both"/>
        <w:textAlignment w:val="auto"/>
        <w:rPr>
          <w:rFonts w:eastAsiaTheme="minorEastAsia"/>
          <w:kern w:val="0"/>
          <w:lang w:eastAsia="en-US" w:bidi="ar-SA"/>
        </w:rPr>
      </w:pPr>
      <w:r>
        <w:rPr>
          <w:rFonts w:eastAsiaTheme="minorEastAsia"/>
          <w:kern w:val="0"/>
          <w:lang w:eastAsia="en-US" w:bidi="ar-SA"/>
        </w:rPr>
        <w:t>ANR techninę specifikaciją;</w:t>
      </w:r>
    </w:p>
    <w:p w:rsidR="00EB54AB" w:rsidRDefault="00EB54AB" w:rsidP="00EB54AB">
      <w:pPr>
        <w:numPr>
          <w:ilvl w:val="0"/>
          <w:numId w:val="13"/>
        </w:numPr>
        <w:ind w:left="0" w:firstLine="680"/>
        <w:jc w:val="both"/>
        <w:textAlignment w:val="auto"/>
        <w:rPr>
          <w:rFonts w:eastAsiaTheme="minorEastAsia"/>
          <w:kern w:val="0"/>
          <w:lang w:eastAsia="en-US" w:bidi="ar-SA"/>
        </w:rPr>
      </w:pPr>
      <w:r>
        <w:rPr>
          <w:rFonts w:eastAsiaTheme="minorEastAsia"/>
          <w:kern w:val="0"/>
          <w:lang w:eastAsia="en-US" w:bidi="ar-SA"/>
        </w:rPr>
        <w:t>ANR architektūros specifikaciją;</w:t>
      </w:r>
    </w:p>
    <w:p w:rsidR="00EB54AB" w:rsidRDefault="00EB54AB" w:rsidP="00EB54AB">
      <w:pPr>
        <w:numPr>
          <w:ilvl w:val="0"/>
          <w:numId w:val="13"/>
        </w:numPr>
        <w:ind w:left="0" w:firstLine="680"/>
        <w:jc w:val="both"/>
        <w:textAlignment w:val="auto"/>
        <w:rPr>
          <w:rFonts w:eastAsiaTheme="minorEastAsia"/>
          <w:kern w:val="0"/>
          <w:lang w:eastAsia="en-US" w:bidi="ar-SA"/>
        </w:rPr>
      </w:pPr>
      <w:r>
        <w:rPr>
          <w:rFonts w:eastAsiaTheme="minorEastAsia"/>
          <w:kern w:val="0"/>
          <w:lang w:eastAsia="en-US" w:bidi="ar-SA"/>
        </w:rPr>
        <w:t>ANR priėmimo testavimo scenarijus;</w:t>
      </w:r>
    </w:p>
    <w:p w:rsidR="00EB54AB" w:rsidRDefault="00EB54AB" w:rsidP="00EB54AB">
      <w:pPr>
        <w:numPr>
          <w:ilvl w:val="0"/>
          <w:numId w:val="13"/>
        </w:numPr>
        <w:ind w:left="0" w:firstLine="680"/>
        <w:jc w:val="both"/>
        <w:textAlignment w:val="auto"/>
        <w:rPr>
          <w:rFonts w:eastAsiaTheme="minorEastAsia"/>
          <w:kern w:val="0"/>
          <w:lang w:eastAsia="en-US" w:bidi="ar-SA"/>
        </w:rPr>
      </w:pPr>
      <w:r>
        <w:rPr>
          <w:rFonts w:eastAsiaTheme="minorEastAsia"/>
          <w:kern w:val="0"/>
          <w:lang w:eastAsia="en-US" w:bidi="ar-SA"/>
        </w:rPr>
        <w:t>Garantijos procedūros dokumentą;</w:t>
      </w:r>
    </w:p>
    <w:p w:rsidR="00EB54AB" w:rsidRDefault="00EB54AB" w:rsidP="00EB54AB">
      <w:pPr>
        <w:numPr>
          <w:ilvl w:val="0"/>
          <w:numId w:val="13"/>
        </w:numPr>
        <w:ind w:left="0" w:firstLine="680"/>
        <w:jc w:val="both"/>
        <w:textAlignment w:val="auto"/>
        <w:rPr>
          <w:rFonts w:eastAsiaTheme="minorEastAsia"/>
          <w:kern w:val="0"/>
          <w:lang w:eastAsia="en-US" w:bidi="ar-SA"/>
        </w:rPr>
      </w:pPr>
      <w:r>
        <w:rPr>
          <w:rFonts w:eastAsiaTheme="minorEastAsia"/>
          <w:kern w:val="0"/>
          <w:lang w:eastAsia="en-US" w:bidi="ar-SA"/>
        </w:rPr>
        <w:t>ANR techninį aprašymą (specifikaciją) (pagal Informacinės visuomenės plėtros komiteto reikalavimus).</w:t>
      </w:r>
    </w:p>
    <w:p w:rsidR="00EB54AB" w:rsidRDefault="00EB54AB" w:rsidP="00EB54AB">
      <w:pPr>
        <w:numPr>
          <w:ilvl w:val="0"/>
          <w:numId w:val="12"/>
        </w:numPr>
        <w:ind w:left="0" w:firstLine="680"/>
        <w:jc w:val="both"/>
        <w:textAlignment w:val="auto"/>
        <w:rPr>
          <w:rFonts w:eastAsiaTheme="minorEastAsia"/>
          <w:kern w:val="0"/>
          <w:lang w:eastAsia="en-US" w:bidi="ar-SA"/>
        </w:rPr>
      </w:pPr>
      <w:r>
        <w:rPr>
          <w:rFonts w:eastAsiaTheme="minorEastAsia"/>
          <w:kern w:val="0"/>
          <w:lang w:eastAsia="en-US" w:bidi="ar-SA"/>
        </w:rPr>
        <w:t>Sukurtos ANR PĮ išeities tekstai turi būti pateikiami IRD elektroninėje laikmenoje tų įrankių, kuriais jie sukurti, formatu ir nešifruoti.</w:t>
      </w:r>
    </w:p>
    <w:p w:rsidR="00EB54AB" w:rsidRDefault="00EB54AB" w:rsidP="00EB54AB">
      <w:pPr>
        <w:numPr>
          <w:ilvl w:val="0"/>
          <w:numId w:val="12"/>
        </w:numPr>
        <w:ind w:left="0" w:firstLine="680"/>
        <w:jc w:val="both"/>
        <w:textAlignment w:val="auto"/>
        <w:rPr>
          <w:rFonts w:eastAsiaTheme="minorEastAsia"/>
          <w:kern w:val="0"/>
          <w:lang w:eastAsia="en-US" w:bidi="ar-SA"/>
        </w:rPr>
      </w:pPr>
      <w:r>
        <w:rPr>
          <w:rFonts w:eastAsiaTheme="minorEastAsia"/>
          <w:kern w:val="0"/>
          <w:lang w:eastAsia="en-US" w:bidi="ar-SA"/>
        </w:rPr>
        <w:t>Tiekėjas privalės išeities tekstus perkelti į SVN.</w:t>
      </w:r>
    </w:p>
    <w:p w:rsidR="00EB54AB" w:rsidRDefault="00EB54AB" w:rsidP="00EB54AB">
      <w:pPr>
        <w:numPr>
          <w:ilvl w:val="0"/>
          <w:numId w:val="12"/>
        </w:numPr>
        <w:ind w:left="0" w:firstLine="680"/>
        <w:jc w:val="both"/>
        <w:textAlignment w:val="auto"/>
        <w:rPr>
          <w:rFonts w:eastAsiaTheme="minorEastAsia"/>
          <w:kern w:val="0"/>
          <w:lang w:eastAsia="en-US" w:bidi="ar-SA"/>
        </w:rPr>
      </w:pPr>
      <w:r>
        <w:rPr>
          <w:rFonts w:eastAsiaTheme="minorEastAsia"/>
          <w:kern w:val="0"/>
          <w:lang w:eastAsia="en-US" w:bidi="ar-SA"/>
        </w:rPr>
        <w:t>Tiekėjas privalės sukonfigūruoti (ir dokumentuoti) ANR PĮ diegimo į testinę ir gamybinę aplinkas procesą ir priemones taip, kad atsakingas IRD darbuotojas ANR PĮ, pagamintą (sukompiliuotą) iš SVN esančių išeities tekstų, galėtų įdiegti į testinę ir gamybinę aplinkas, valdyti diegimo konfigūraciją.</w:t>
      </w:r>
    </w:p>
    <w:p w:rsidR="00EB54AB" w:rsidRDefault="00EB54AB" w:rsidP="00EB54AB">
      <w:pPr>
        <w:numPr>
          <w:ilvl w:val="0"/>
          <w:numId w:val="12"/>
        </w:numPr>
        <w:ind w:left="0" w:firstLine="680"/>
        <w:jc w:val="both"/>
        <w:textAlignment w:val="auto"/>
        <w:rPr>
          <w:rFonts w:eastAsiaTheme="minorEastAsia"/>
          <w:kern w:val="0"/>
          <w:lang w:eastAsia="en-US" w:bidi="ar-SA"/>
        </w:rPr>
      </w:pPr>
      <w:r>
        <w:rPr>
          <w:rFonts w:eastAsiaTheme="minorEastAsia"/>
          <w:kern w:val="0"/>
          <w:lang w:eastAsia="en-US" w:bidi="ar-SA"/>
        </w:rPr>
        <w:t>Bet kokie ANR PĮ atnaujinimų diegimai į testinę ir gamybinę aplinkas bus galimi tik iš SVN esančių išeities tekstų.</w:t>
      </w:r>
    </w:p>
    <w:p w:rsidR="00EB54AB" w:rsidRDefault="00EB54AB" w:rsidP="00EB54AB">
      <w:pPr>
        <w:numPr>
          <w:ilvl w:val="0"/>
          <w:numId w:val="12"/>
        </w:numPr>
        <w:ind w:left="0" w:firstLine="680"/>
        <w:jc w:val="both"/>
        <w:textAlignment w:val="auto"/>
        <w:rPr>
          <w:rFonts w:eastAsiaTheme="minorEastAsia"/>
          <w:kern w:val="0"/>
          <w:lang w:eastAsia="en-US" w:bidi="ar-SA"/>
        </w:rPr>
      </w:pPr>
      <w:r>
        <w:rPr>
          <w:rFonts w:eastAsiaTheme="minorEastAsia"/>
          <w:kern w:val="0"/>
          <w:lang w:eastAsia="en-US" w:bidi="ar-SA"/>
        </w:rPr>
        <w:t>Bet kokie PĮ diegimai į testinę ir gamybinę aplinkas bus vykdomi IRD atsakingų darbuotojų tik kartu su tiekėjo atsakingais darbuotojais.</w:t>
      </w:r>
    </w:p>
    <w:p w:rsidR="00EB54AB" w:rsidRDefault="00EB54AB" w:rsidP="00EB54AB">
      <w:pPr>
        <w:ind w:firstLine="680"/>
        <w:jc w:val="both"/>
        <w:rPr>
          <w:rFonts w:eastAsiaTheme="minorEastAsia"/>
          <w:kern w:val="0"/>
          <w:lang w:eastAsia="en-US" w:bidi="ar-SA"/>
        </w:rPr>
      </w:pPr>
    </w:p>
    <w:p w:rsidR="00EB54AB" w:rsidRDefault="00EB54AB" w:rsidP="00EB54AB">
      <w:pPr>
        <w:numPr>
          <w:ilvl w:val="0"/>
          <w:numId w:val="11"/>
        </w:numPr>
        <w:suppressAutoHyphens w:val="0"/>
        <w:spacing w:line="252" w:lineRule="auto"/>
        <w:ind w:left="0" w:firstLine="680"/>
        <w:jc w:val="both"/>
        <w:textAlignment w:val="auto"/>
        <w:rPr>
          <w:rFonts w:eastAsiaTheme="minorEastAsia"/>
          <w:b/>
          <w:kern w:val="0"/>
          <w:lang w:eastAsia="en-US" w:bidi="ar-SA"/>
        </w:rPr>
      </w:pPr>
      <w:r>
        <w:rPr>
          <w:rFonts w:eastAsiaTheme="minorEastAsia"/>
          <w:b/>
          <w:kern w:val="0"/>
          <w:lang w:eastAsia="en-US" w:bidi="ar-SA"/>
        </w:rPr>
        <w:t>Reikalavimai testavimui</w:t>
      </w:r>
    </w:p>
    <w:p w:rsidR="00EB54AB" w:rsidRDefault="00EB54AB" w:rsidP="00EB54AB">
      <w:pPr>
        <w:numPr>
          <w:ilvl w:val="0"/>
          <w:numId w:val="14"/>
        </w:numPr>
        <w:ind w:left="0" w:firstLine="680"/>
        <w:jc w:val="both"/>
        <w:textAlignment w:val="auto"/>
        <w:rPr>
          <w:rFonts w:eastAsiaTheme="minorEastAsia"/>
          <w:kern w:val="0"/>
          <w:lang w:eastAsia="en-US" w:bidi="ar-SA"/>
        </w:rPr>
      </w:pPr>
      <w:r>
        <w:rPr>
          <w:rFonts w:eastAsiaTheme="minorEastAsia"/>
          <w:kern w:val="0"/>
          <w:lang w:eastAsia="en-US" w:bidi="ar-SA"/>
        </w:rPr>
        <w:t>Prieš diegiant ir konfigūruojant gamybinėje aplinkoje, naujai sukurta PĮ turi būti įdiegta į IRD testinę aplinką ir ištestuota priėmimo testais, kurių scenarijus Tiekėjasturi parengti ir suderinti per 5 (penkias) darbo dienas iki paskirto testavimo pradžios.</w:t>
      </w:r>
    </w:p>
    <w:p w:rsidR="00EB54AB" w:rsidRDefault="00EB54AB" w:rsidP="00EB54AB">
      <w:pPr>
        <w:numPr>
          <w:ilvl w:val="0"/>
          <w:numId w:val="14"/>
        </w:numPr>
        <w:ind w:left="0" w:firstLine="680"/>
        <w:jc w:val="both"/>
        <w:textAlignment w:val="auto"/>
        <w:rPr>
          <w:rFonts w:eastAsiaTheme="minorEastAsia"/>
          <w:kern w:val="0"/>
          <w:lang w:eastAsia="en-US" w:bidi="ar-SA"/>
        </w:rPr>
      </w:pPr>
      <w:r>
        <w:rPr>
          <w:rFonts w:eastAsiaTheme="minorEastAsia"/>
          <w:kern w:val="0"/>
          <w:lang w:eastAsia="en-US" w:bidi="ar-SA"/>
        </w:rPr>
        <w:t>Testavimas turi apimti visą funkcinių reikalavimų dokumentacijoje specifikuotą sistemos funkcionalumą, visus taikymo atvejus.</w:t>
      </w:r>
    </w:p>
    <w:p w:rsidR="00EB54AB" w:rsidRDefault="00EB54AB" w:rsidP="00EB54AB">
      <w:pPr>
        <w:numPr>
          <w:ilvl w:val="0"/>
          <w:numId w:val="14"/>
        </w:numPr>
        <w:ind w:left="0" w:firstLine="680"/>
        <w:jc w:val="both"/>
        <w:textAlignment w:val="auto"/>
        <w:rPr>
          <w:rFonts w:eastAsiaTheme="minorEastAsia"/>
          <w:kern w:val="0"/>
          <w:lang w:eastAsia="en-US" w:bidi="ar-SA"/>
        </w:rPr>
      </w:pPr>
      <w:r>
        <w:rPr>
          <w:rFonts w:eastAsiaTheme="minorEastAsia"/>
          <w:kern w:val="0"/>
          <w:lang w:eastAsia="en-US" w:bidi="ar-SA"/>
        </w:rPr>
        <w:lastRenderedPageBreak/>
        <w:t xml:space="preserve">Testavimo aplinkos </w:t>
      </w:r>
      <w:r>
        <w:rPr>
          <w:rFonts w:eastAsia="Calibri"/>
          <w:kern w:val="0"/>
          <w:lang w:eastAsia="en-US" w:bidi="ar-SA"/>
        </w:rPr>
        <w:t>architektūros principai turi atitikti darbinę sistemos aplinkos architektūrą. Kadangi testavimo aplinkos techninės įrangos galingumas gali būti mažesnis nei darbinės aplinkos, tam, kad tinkamai testuoti greitaveiką, tiekėjas turi atlikti abiejų aplinkų našumo ir apkrovos analizę</w:t>
      </w:r>
      <w:r>
        <w:rPr>
          <w:rFonts w:eastAsiaTheme="minorEastAsia"/>
          <w:kern w:val="0"/>
          <w:lang w:eastAsia="en-US" w:bidi="ar-SA"/>
        </w:rPr>
        <w:t>.</w:t>
      </w:r>
    </w:p>
    <w:p w:rsidR="00EB54AB" w:rsidRDefault="00EB54AB" w:rsidP="00EB54AB">
      <w:pPr>
        <w:numPr>
          <w:ilvl w:val="0"/>
          <w:numId w:val="14"/>
        </w:numPr>
        <w:ind w:left="0" w:firstLine="680"/>
        <w:jc w:val="both"/>
        <w:textAlignment w:val="auto"/>
        <w:rPr>
          <w:rFonts w:eastAsiaTheme="minorEastAsia"/>
          <w:kern w:val="0"/>
          <w:lang w:eastAsia="en-US" w:bidi="ar-SA"/>
        </w:rPr>
      </w:pPr>
      <w:r>
        <w:rPr>
          <w:rFonts w:eastAsia="Calibri"/>
          <w:kern w:val="0"/>
          <w:lang w:eastAsia="en-US" w:bidi="ar-SA"/>
        </w:rPr>
        <w:t>PĮ priėmimo testavimas turi būti atliktas 3 iteracijomis, kur kiekviena jų susideda iš pasiruošimo testavimui, testavimo ir klaidų bei neatitikimų taisymo.</w:t>
      </w:r>
    </w:p>
    <w:p w:rsidR="00EB54AB" w:rsidRDefault="00EB54AB" w:rsidP="00EB54AB">
      <w:pPr>
        <w:numPr>
          <w:ilvl w:val="0"/>
          <w:numId w:val="14"/>
        </w:numPr>
        <w:ind w:left="0" w:firstLine="680"/>
        <w:jc w:val="both"/>
        <w:textAlignment w:val="auto"/>
        <w:rPr>
          <w:rFonts w:eastAsiaTheme="minorEastAsia"/>
          <w:kern w:val="0"/>
          <w:lang w:eastAsia="en-US" w:bidi="ar-SA"/>
        </w:rPr>
      </w:pPr>
      <w:r>
        <w:rPr>
          <w:rFonts w:eastAsia="Calibri"/>
          <w:kern w:val="0"/>
          <w:lang w:eastAsia="en-US" w:bidi="ar-SA"/>
        </w:rPr>
        <w:t>PĮ, susijusios su greitaveikos problemų sprendimu, priimama pateikus PĮ veikimo diagnostikos ataskaitą: prieš pakeitimą ir po pakeitimo.</w:t>
      </w:r>
    </w:p>
    <w:p w:rsidR="00EB54AB" w:rsidRDefault="00EB54AB" w:rsidP="00EB54AB">
      <w:pPr>
        <w:numPr>
          <w:ilvl w:val="0"/>
          <w:numId w:val="14"/>
        </w:numPr>
        <w:ind w:left="0" w:firstLine="680"/>
        <w:jc w:val="both"/>
        <w:textAlignment w:val="auto"/>
        <w:rPr>
          <w:rFonts w:eastAsiaTheme="minorEastAsia"/>
          <w:kern w:val="0"/>
          <w:lang w:eastAsia="en-US" w:bidi="ar-SA"/>
        </w:rPr>
      </w:pPr>
      <w:r>
        <w:rPr>
          <w:rFonts w:eastAsia="Calibri"/>
          <w:kern w:val="0"/>
          <w:lang w:eastAsia="en-US" w:bidi="ar-SA"/>
        </w:rPr>
        <w:t>Testavimų metu įsitikinama, kad sukurta PĮ atitinka jai keliamus reikalavimus, yra funkcionali (atlieka visas numatytas funkcijas), yra naši ir ergonomiška.</w:t>
      </w:r>
    </w:p>
    <w:p w:rsidR="00EB54AB" w:rsidRDefault="00EB54AB" w:rsidP="00EB54AB">
      <w:pPr>
        <w:numPr>
          <w:ilvl w:val="0"/>
          <w:numId w:val="14"/>
        </w:numPr>
        <w:ind w:left="0" w:firstLine="680"/>
        <w:jc w:val="both"/>
        <w:textAlignment w:val="auto"/>
        <w:rPr>
          <w:rFonts w:eastAsiaTheme="minorEastAsia"/>
          <w:kern w:val="0"/>
          <w:lang w:eastAsia="en-US" w:bidi="ar-SA"/>
        </w:rPr>
      </w:pPr>
      <w:r>
        <w:rPr>
          <w:rFonts w:eastAsia="Calibri"/>
          <w:kern w:val="0"/>
          <w:lang w:eastAsia="en-US" w:bidi="ar-SA"/>
        </w:rPr>
        <w:t>Tiekėjas pagal suderintą 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p w:rsidR="00EB54AB" w:rsidRDefault="00EB54AB" w:rsidP="00EB54AB">
      <w:pPr>
        <w:numPr>
          <w:ilvl w:val="0"/>
          <w:numId w:val="14"/>
        </w:numPr>
        <w:ind w:left="0" w:firstLine="680"/>
        <w:jc w:val="both"/>
        <w:textAlignment w:val="auto"/>
        <w:rPr>
          <w:rFonts w:eastAsiaTheme="minorEastAsia"/>
          <w:kern w:val="0"/>
          <w:lang w:eastAsia="en-US" w:bidi="ar-SA"/>
        </w:rPr>
      </w:pPr>
      <w:r>
        <w:rPr>
          <w:rFonts w:eastAsia="Calibri"/>
          <w:kern w:val="0"/>
          <w:lang w:eastAsia="en-US" w:bidi="ar-SA"/>
        </w:rPr>
        <w:t>Į testinę aplinką bus diegiama tik iš SVN esančių išeities tekstų pagaminta ANR PĮ.</w:t>
      </w:r>
    </w:p>
    <w:p w:rsidR="00EB54AB" w:rsidRDefault="00EB54AB" w:rsidP="00EB54AB">
      <w:pPr>
        <w:numPr>
          <w:ilvl w:val="0"/>
          <w:numId w:val="14"/>
        </w:numPr>
        <w:ind w:left="0" w:firstLine="680"/>
        <w:jc w:val="both"/>
        <w:textAlignment w:val="auto"/>
        <w:rPr>
          <w:rFonts w:eastAsiaTheme="minorEastAsia"/>
          <w:kern w:val="0"/>
          <w:lang w:eastAsia="en-US" w:bidi="ar-SA"/>
        </w:rPr>
      </w:pPr>
      <w:r>
        <w:rPr>
          <w:rFonts w:eastAsia="Calibri"/>
          <w:kern w:val="0"/>
          <w:lang w:eastAsia="en-US" w:bidi="ar-SA"/>
        </w:rPr>
        <w:t>Testavimo metu elektronine forma turi būti vedamas pastebėtų klaidų ir jų būsenų kaupimo žurnalas, galimybę jį pildyti suteikiant įgaliotiems IRD darbuotojams.</w:t>
      </w:r>
    </w:p>
    <w:p w:rsidR="00EB54AB" w:rsidRDefault="00EB54AB" w:rsidP="00EB54AB">
      <w:pPr>
        <w:jc w:val="both"/>
        <w:rPr>
          <w:rFonts w:eastAsiaTheme="minorEastAsia"/>
          <w:kern w:val="0"/>
          <w:lang w:eastAsia="en-US" w:bidi="ar-SA"/>
        </w:rPr>
      </w:pPr>
    </w:p>
    <w:p w:rsidR="00EB54AB" w:rsidRDefault="00EB54AB" w:rsidP="00EB54AB">
      <w:pPr>
        <w:numPr>
          <w:ilvl w:val="0"/>
          <w:numId w:val="11"/>
        </w:numPr>
        <w:suppressAutoHyphens w:val="0"/>
        <w:spacing w:line="252" w:lineRule="auto"/>
        <w:ind w:left="0" w:firstLine="680"/>
        <w:jc w:val="both"/>
        <w:textAlignment w:val="auto"/>
        <w:rPr>
          <w:rFonts w:eastAsiaTheme="minorEastAsia"/>
          <w:kern w:val="0"/>
          <w:lang w:eastAsia="en-US" w:bidi="ar-SA"/>
        </w:rPr>
      </w:pPr>
      <w:r>
        <w:rPr>
          <w:rFonts w:eastAsia="Calibri"/>
          <w:b/>
          <w:bCs/>
          <w:kern w:val="0"/>
          <w:lang w:eastAsia="en-US" w:bidi="ar-SA"/>
        </w:rPr>
        <w:t>Reikalavimai įdiegimui gamybinėje aplinkoje</w:t>
      </w:r>
    </w:p>
    <w:p w:rsidR="00EB54AB" w:rsidRDefault="00EB54AB" w:rsidP="00EB54AB">
      <w:pPr>
        <w:numPr>
          <w:ilvl w:val="0"/>
          <w:numId w:val="15"/>
        </w:numPr>
        <w:ind w:left="0" w:firstLine="680"/>
        <w:jc w:val="both"/>
        <w:textAlignment w:val="auto"/>
        <w:rPr>
          <w:rFonts w:eastAsiaTheme="minorEastAsia"/>
          <w:kern w:val="0"/>
          <w:lang w:eastAsia="en-US" w:bidi="ar-SA"/>
        </w:rPr>
      </w:pPr>
      <w:r>
        <w:rPr>
          <w:rFonts w:eastAsiaTheme="minorEastAsia"/>
          <w:kern w:val="0"/>
          <w:lang w:eastAsia="en-US" w:bidi="ar-SA"/>
        </w:rPr>
        <w:t xml:space="preserve">ANR PĮ </w:t>
      </w:r>
      <w:r>
        <w:rPr>
          <w:rFonts w:eastAsia="Calibri"/>
          <w:kern w:val="0"/>
          <w:lang w:eastAsia="en-US" w:bidi="ar-SA"/>
        </w:rPr>
        <w:t>turi būti įdiegta ir sukonfigūruota turimoje IRD gamybinėje aplinkoje, diegimas vykdomas iteracijomis. Po įdiegimo turi nesutrikti gamybinėje aplinkoje įdiegtos taikomosios programinės įrangos veikimas. Iteracijas turi sudaryti diegėjas apjungdamas į vieną iteraciją tarpusavyje susijusius reikalavimus. Iteracijos neturi realizuoti daugiau kaip 20 (dvidešimt) procentų reikalavimų.</w:t>
      </w:r>
    </w:p>
    <w:p w:rsidR="00EB54AB" w:rsidRDefault="00EB54AB" w:rsidP="00EB54AB">
      <w:pPr>
        <w:numPr>
          <w:ilvl w:val="0"/>
          <w:numId w:val="15"/>
        </w:numPr>
        <w:ind w:left="0" w:firstLine="680"/>
        <w:jc w:val="both"/>
        <w:textAlignment w:val="auto"/>
        <w:rPr>
          <w:rFonts w:eastAsiaTheme="minorEastAsia"/>
          <w:kern w:val="0"/>
          <w:lang w:eastAsia="en-US" w:bidi="ar-SA"/>
        </w:rPr>
      </w:pPr>
      <w:r>
        <w:rPr>
          <w:rFonts w:eastAsiaTheme="minorEastAsia"/>
          <w:kern w:val="0"/>
          <w:lang w:eastAsia="en-US" w:bidi="ar-SA"/>
        </w:rPr>
        <w:t xml:space="preserve">ANR PĮ turi išlikti darbinga įvykus daliniams techninės įrangos gedimams (angl. </w:t>
      </w:r>
      <w:r>
        <w:rPr>
          <w:rFonts w:eastAsiaTheme="minorEastAsia"/>
          <w:i/>
          <w:kern w:val="0"/>
          <w:lang w:eastAsia="en-US" w:bidi="ar-SA"/>
        </w:rPr>
        <w:t>failover</w:t>
      </w:r>
      <w:r>
        <w:rPr>
          <w:rFonts w:eastAsiaTheme="minorEastAsia"/>
          <w:kern w:val="0"/>
          <w:lang w:eastAsia="en-US" w:bidi="ar-SA"/>
        </w:rPr>
        <w:t>)</w:t>
      </w:r>
      <w:r>
        <w:rPr>
          <w:rFonts w:eastAsiaTheme="minorEastAsia"/>
          <w:i/>
          <w:kern w:val="0"/>
          <w:lang w:eastAsia="en-US" w:bidi="ar-SA"/>
        </w:rPr>
        <w:t>.</w:t>
      </w:r>
    </w:p>
    <w:p w:rsidR="00EB54AB" w:rsidRDefault="00EB54AB" w:rsidP="00EB54AB">
      <w:pPr>
        <w:numPr>
          <w:ilvl w:val="0"/>
          <w:numId w:val="15"/>
        </w:numPr>
        <w:ind w:left="0" w:firstLine="680"/>
        <w:jc w:val="both"/>
        <w:textAlignment w:val="auto"/>
        <w:rPr>
          <w:rFonts w:eastAsiaTheme="minorEastAsia"/>
          <w:kern w:val="0"/>
          <w:lang w:eastAsia="en-US" w:bidi="ar-SA"/>
        </w:rPr>
      </w:pPr>
      <w:r>
        <w:rPr>
          <w:rFonts w:eastAsiaTheme="minorEastAsia"/>
          <w:kern w:val="0"/>
          <w:lang w:eastAsia="en-US" w:bidi="ar-SA"/>
        </w:rPr>
        <w:t>SSL arba kitos lygiavertės šifravimo priemonės administravimas turi būti aprašytas ANR naudotojo vadove.</w:t>
      </w:r>
    </w:p>
    <w:p w:rsidR="00EB54AB" w:rsidRDefault="00EB54AB" w:rsidP="00EB54AB">
      <w:pPr>
        <w:numPr>
          <w:ilvl w:val="0"/>
          <w:numId w:val="15"/>
        </w:numPr>
        <w:ind w:left="0" w:firstLine="680"/>
        <w:jc w:val="both"/>
        <w:textAlignment w:val="auto"/>
        <w:rPr>
          <w:rFonts w:eastAsiaTheme="minorEastAsia"/>
          <w:kern w:val="0"/>
          <w:lang w:eastAsia="en-US" w:bidi="ar-SA"/>
        </w:rPr>
      </w:pPr>
      <w:r>
        <w:rPr>
          <w:rFonts w:eastAsiaTheme="minorEastAsia"/>
          <w:kern w:val="0"/>
          <w:lang w:eastAsia="en-US" w:bidi="ar-SA"/>
        </w:rPr>
        <w:t xml:space="preserve">Į gamybinę aplinką </w:t>
      </w:r>
      <w:r>
        <w:rPr>
          <w:rFonts w:eastAsia="Calibri"/>
          <w:kern w:val="0"/>
          <w:lang w:eastAsia="en-US" w:bidi="ar-SA"/>
        </w:rPr>
        <w:t>bus diegiama tik iš SVN esančių išeities tekstų pagaminta ANR PĮ.</w:t>
      </w:r>
    </w:p>
    <w:p w:rsidR="00EB54AB" w:rsidRDefault="00EB54AB" w:rsidP="00EB54AB">
      <w:pPr>
        <w:numPr>
          <w:ilvl w:val="0"/>
          <w:numId w:val="15"/>
        </w:numPr>
        <w:ind w:left="0" w:firstLine="680"/>
        <w:jc w:val="both"/>
        <w:textAlignment w:val="auto"/>
        <w:rPr>
          <w:rFonts w:eastAsiaTheme="minorEastAsia"/>
          <w:kern w:val="0"/>
          <w:lang w:eastAsia="en-US" w:bidi="ar-SA"/>
        </w:rPr>
      </w:pPr>
      <w:r>
        <w:rPr>
          <w:rFonts w:eastAsiaTheme="minorEastAsia"/>
          <w:kern w:val="0"/>
          <w:lang w:eastAsia="en-US" w:bidi="ar-SA"/>
        </w:rPr>
        <w:t>Funkcionalumas įkeltas į ANR gamybinę aplinką neturi sutrikdyti kitų ANR esančių funkcijų darbo. Jeigu įkeltas funkcionalumas sutrikdo ANR esančių funkcijų darbą, laikoma, kad Paslauga atlikta nekokybiškai. Tiekėjas atlieka klaidų taisymą ir ANR duomenų ir dokumentų atstatymo darbus savo lėšomis.</w:t>
      </w:r>
    </w:p>
    <w:p w:rsidR="00EB54AB" w:rsidRDefault="00EB54AB" w:rsidP="00EB54AB">
      <w:pPr>
        <w:jc w:val="both"/>
        <w:rPr>
          <w:rFonts w:eastAsiaTheme="minorEastAsia"/>
          <w:kern w:val="0"/>
          <w:lang w:eastAsia="en-US" w:bidi="ar-SA"/>
        </w:rPr>
      </w:pPr>
    </w:p>
    <w:p w:rsidR="00EB54AB" w:rsidRDefault="00EB54AB" w:rsidP="00EB54AB">
      <w:pPr>
        <w:numPr>
          <w:ilvl w:val="0"/>
          <w:numId w:val="11"/>
        </w:numPr>
        <w:suppressAutoHyphens w:val="0"/>
        <w:spacing w:line="252" w:lineRule="auto"/>
        <w:ind w:left="0" w:firstLine="680"/>
        <w:jc w:val="both"/>
        <w:textAlignment w:val="auto"/>
        <w:rPr>
          <w:rFonts w:eastAsiaTheme="minorEastAsia"/>
          <w:b/>
          <w:kern w:val="0"/>
          <w:lang w:eastAsia="en-US" w:bidi="ar-SA"/>
        </w:rPr>
      </w:pPr>
      <w:r>
        <w:rPr>
          <w:rFonts w:eastAsiaTheme="minorEastAsia"/>
          <w:b/>
          <w:kern w:val="0"/>
          <w:lang w:eastAsia="en-US" w:bidi="ar-SA"/>
        </w:rPr>
        <w:t>Rezultatų priėmimas</w:t>
      </w:r>
    </w:p>
    <w:p w:rsidR="00EB54AB" w:rsidRDefault="00EB54AB" w:rsidP="00EB54AB">
      <w:pPr>
        <w:numPr>
          <w:ilvl w:val="0"/>
          <w:numId w:val="16"/>
        </w:numPr>
        <w:suppressAutoHyphens w:val="0"/>
        <w:ind w:left="0" w:firstLine="680"/>
        <w:jc w:val="both"/>
        <w:textAlignment w:val="auto"/>
        <w:rPr>
          <w:rFonts w:eastAsiaTheme="minorEastAsia"/>
          <w:kern w:val="0"/>
          <w:lang w:eastAsia="en-US" w:bidi="ar-SA"/>
        </w:rPr>
      </w:pPr>
      <w:r>
        <w:rPr>
          <w:rFonts w:eastAsia="Calibri"/>
          <w:kern w:val="0"/>
          <w:lang w:eastAsia="en-US" w:bidi="ar-SA"/>
        </w:rPr>
        <w:t>Rezultatų priėmimas bus atliktas tik pašalinus testavimo metu nustatytus trūkumus.</w:t>
      </w:r>
    </w:p>
    <w:p w:rsidR="00EB54AB" w:rsidRDefault="00EB54AB" w:rsidP="00EB54AB">
      <w:pPr>
        <w:numPr>
          <w:ilvl w:val="0"/>
          <w:numId w:val="16"/>
        </w:numPr>
        <w:suppressAutoHyphens w:val="0"/>
        <w:ind w:left="0" w:firstLine="680"/>
        <w:jc w:val="both"/>
        <w:textAlignment w:val="auto"/>
        <w:rPr>
          <w:rFonts w:eastAsiaTheme="minorEastAsia"/>
          <w:kern w:val="0"/>
          <w:lang w:eastAsia="en-US" w:bidi="ar-SA"/>
        </w:rPr>
      </w:pPr>
      <w:r>
        <w:rPr>
          <w:rFonts w:eastAsia="Calibri"/>
          <w:kern w:val="0"/>
          <w:lang w:eastAsia="en-US" w:bidi="ar-SA"/>
        </w:rPr>
        <w:t>Sukurta ANR PĮ ir jos autorinės teisės turės būti perduotos Perkančiosios organizacijos nuosavybėn turtinėmis teisėmis.</w:t>
      </w:r>
    </w:p>
    <w:p w:rsidR="00EB54AB" w:rsidRDefault="00EB54AB" w:rsidP="00EB54AB">
      <w:pPr>
        <w:numPr>
          <w:ilvl w:val="0"/>
          <w:numId w:val="16"/>
        </w:numPr>
        <w:tabs>
          <w:tab w:val="left" w:pos="1134"/>
        </w:tabs>
        <w:suppressAutoHyphens w:val="0"/>
        <w:ind w:left="0" w:firstLine="680"/>
        <w:jc w:val="both"/>
        <w:textAlignment w:val="auto"/>
        <w:rPr>
          <w:rFonts w:eastAsiaTheme="minorEastAsia"/>
          <w:kern w:val="0"/>
          <w:lang w:eastAsia="en-US" w:bidi="ar-SA"/>
        </w:rPr>
      </w:pPr>
      <w:r>
        <w:rPr>
          <w:rFonts w:eastAsia="Calibri"/>
          <w:kern w:val="0"/>
          <w:lang w:eastAsia="en-US" w:bidi="ar-SA"/>
        </w:rPr>
        <w:t>Rezultatų priėmimas-perdavimas bus įformintas priėmimo-perdavimo aktais. Priėmimo-perdavimo aktų kiekį ir periodiškumą tiekėjas turi suderinti su Perkančiąja organizacija Paslaugų teikimo grafike.</w:t>
      </w:r>
    </w:p>
    <w:p w:rsidR="00EB54AB" w:rsidRDefault="00EB54AB" w:rsidP="00EB54AB">
      <w:pPr>
        <w:numPr>
          <w:ilvl w:val="0"/>
          <w:numId w:val="16"/>
        </w:numPr>
        <w:suppressAutoHyphens w:val="0"/>
        <w:ind w:left="0" w:firstLine="680"/>
        <w:jc w:val="both"/>
        <w:textAlignment w:val="auto"/>
        <w:rPr>
          <w:rFonts w:eastAsiaTheme="minorEastAsia"/>
          <w:kern w:val="0"/>
          <w:lang w:eastAsia="en-US" w:bidi="ar-SA"/>
        </w:rPr>
      </w:pPr>
      <w:r>
        <w:rPr>
          <w:rFonts w:eastAsiaTheme="minorEastAsia"/>
          <w:kern w:val="0"/>
          <w:lang w:eastAsia="en-US" w:bidi="ar-SA"/>
        </w:rPr>
        <w:t>Defektų, atsiradusių suteikus Paslaugas dėl tiekėjo kaltės, šalinimas turi būti atliktas nemokamai ir neturi daryti įtakos kitoms teikiamoms Paslaugoms (terminui, sąnaudoms ir kt.).</w:t>
      </w:r>
    </w:p>
    <w:p w:rsidR="00EB54AB" w:rsidRDefault="00EB54AB" w:rsidP="00EB54AB">
      <w:pPr>
        <w:suppressAutoHyphens w:val="0"/>
        <w:spacing w:line="252" w:lineRule="auto"/>
        <w:ind w:left="680"/>
        <w:jc w:val="both"/>
        <w:textAlignment w:val="auto"/>
        <w:rPr>
          <w:rFonts w:eastAsiaTheme="minorEastAsia"/>
          <w:kern w:val="0"/>
          <w:lang w:eastAsia="en-US" w:bidi="ar-SA"/>
        </w:rPr>
      </w:pPr>
    </w:p>
    <w:p w:rsidR="00EB54AB" w:rsidRDefault="00EB54AB" w:rsidP="00EB54AB">
      <w:pPr>
        <w:numPr>
          <w:ilvl w:val="0"/>
          <w:numId w:val="11"/>
        </w:numPr>
        <w:suppressAutoHyphens w:val="0"/>
        <w:spacing w:line="252" w:lineRule="auto"/>
        <w:ind w:left="0" w:firstLine="680"/>
        <w:jc w:val="both"/>
        <w:textAlignment w:val="auto"/>
        <w:rPr>
          <w:rFonts w:eastAsiaTheme="minorEastAsia"/>
          <w:b/>
          <w:kern w:val="0"/>
          <w:lang w:eastAsia="en-US" w:bidi="ar-SA"/>
        </w:rPr>
      </w:pPr>
      <w:r>
        <w:rPr>
          <w:rFonts w:eastAsiaTheme="minorEastAsia"/>
          <w:b/>
          <w:kern w:val="0"/>
          <w:lang w:eastAsia="en-US" w:bidi="ar-SA"/>
        </w:rPr>
        <w:t>Garantinė priežiūra, pastebėtų klaidų ir neatitikimų šalinimas</w:t>
      </w:r>
    </w:p>
    <w:p w:rsidR="00EB54AB" w:rsidRDefault="00EB54AB" w:rsidP="00EB54AB">
      <w:pPr>
        <w:numPr>
          <w:ilvl w:val="0"/>
          <w:numId w:val="17"/>
        </w:numPr>
        <w:ind w:left="0" w:firstLine="680"/>
        <w:jc w:val="both"/>
        <w:textAlignment w:val="auto"/>
        <w:rPr>
          <w:rFonts w:eastAsiaTheme="minorEastAsia"/>
          <w:b/>
          <w:kern w:val="0"/>
          <w:lang w:eastAsia="en-US" w:bidi="ar-SA"/>
        </w:rPr>
      </w:pPr>
      <w:r>
        <w:rPr>
          <w:rFonts w:eastAsia="Calibri"/>
          <w:kern w:val="0"/>
          <w:lang w:eastAsia="en-US" w:bidi="ar-SA"/>
        </w:rPr>
        <w:t xml:space="preserve">Sukurtai ANR PĮ teikiama garantinė priežiūra, </w:t>
      </w:r>
      <w:r w:rsidRPr="00033C48">
        <w:t>galiojanti visą sutarties laikotarpį. Garantinio laikotarpio pradžia laikoma perdavimo–priėmimo akto pasirašymo data.</w:t>
      </w:r>
      <w:r>
        <w:rPr>
          <w:rFonts w:eastAsia="Calibri"/>
          <w:kern w:val="0"/>
          <w:lang w:eastAsia="en-US" w:bidi="ar-SA"/>
        </w:rPr>
        <w:t xml:space="preserve"> Tiekėjas privalo vykdyti garantinį viso sukurto ANR PĮ funkcionalumo aptarnavimą nuo jos eksploatacijos pradžios iki garantinio laikotarpio pabaigos. Garantinio laikotarpio metu tiekėjas turi užtikrinti visų pastebėtų trūkumų tinkamą pašalinimą.</w:t>
      </w:r>
    </w:p>
    <w:p w:rsidR="00EB54AB" w:rsidRDefault="00EB54AB" w:rsidP="00EB54AB">
      <w:pPr>
        <w:numPr>
          <w:ilvl w:val="0"/>
          <w:numId w:val="17"/>
        </w:numPr>
        <w:ind w:left="0" w:firstLine="680"/>
        <w:jc w:val="both"/>
        <w:textAlignment w:val="auto"/>
        <w:rPr>
          <w:rFonts w:eastAsiaTheme="minorEastAsia"/>
          <w:b/>
          <w:kern w:val="0"/>
          <w:lang w:eastAsia="en-US" w:bidi="ar-SA"/>
        </w:rPr>
      </w:pPr>
      <w:r>
        <w:rPr>
          <w:rFonts w:eastAsia="Calibri"/>
          <w:kern w:val="0"/>
          <w:lang w:eastAsia="en-US" w:bidi="ar-SA"/>
        </w:rPr>
        <w:t>Garantinio laikotarpio metu elektronine forma turi būti vedamas pastebėtų klaidų ir jų būsenų kaupimo žurnalas, galimybę jį pildyti suteikiant įgaliotiems IRD darbuotojams.</w:t>
      </w:r>
    </w:p>
    <w:p w:rsidR="00EB54AB" w:rsidRDefault="00EB54AB" w:rsidP="00EB54AB">
      <w:pPr>
        <w:numPr>
          <w:ilvl w:val="0"/>
          <w:numId w:val="17"/>
        </w:numPr>
        <w:ind w:left="0" w:firstLine="680"/>
        <w:jc w:val="both"/>
        <w:textAlignment w:val="auto"/>
        <w:rPr>
          <w:rFonts w:eastAsiaTheme="minorEastAsia"/>
          <w:b/>
          <w:kern w:val="0"/>
          <w:lang w:eastAsia="en-US" w:bidi="ar-SA"/>
        </w:rPr>
      </w:pPr>
      <w:r>
        <w:rPr>
          <w:rFonts w:eastAsiaTheme="minorEastAsia"/>
          <w:kern w:val="0"/>
          <w:szCs w:val="22"/>
          <w:lang w:eastAsia="en-US" w:bidi="ar-SA"/>
        </w:rPr>
        <w:lastRenderedPageBreak/>
        <w:t xml:space="preserve">Projekto vykdymo metu komunikacijai su </w:t>
      </w:r>
      <w:r>
        <w:rPr>
          <w:rFonts w:eastAsia="Calibri"/>
          <w:kern w:val="0"/>
          <w:lang w:eastAsia="en-US" w:bidi="ar-SA"/>
        </w:rPr>
        <w:t>Perkančiąja organizacija</w:t>
      </w:r>
      <w:r>
        <w:rPr>
          <w:rFonts w:eastAsiaTheme="minorEastAsia"/>
          <w:kern w:val="0"/>
          <w:szCs w:val="22"/>
          <w:lang w:eastAsia="en-US" w:bidi="ar-SA"/>
        </w:rPr>
        <w:t xml:space="preserve"> tiekėjas turi turėti veikiančią </w:t>
      </w:r>
      <w:r>
        <w:rPr>
          <w:rFonts w:eastAsia="Calibri"/>
          <w:kern w:val="0"/>
          <w:szCs w:val="22"/>
          <w:lang w:eastAsia="en-US" w:bidi="ar-SA"/>
        </w:rPr>
        <w:t xml:space="preserve">Klientų aptarnavimo tarnybą </w:t>
      </w:r>
      <w:r>
        <w:rPr>
          <w:rFonts w:eastAsiaTheme="minorEastAsia"/>
          <w:kern w:val="0"/>
          <w:szCs w:val="22"/>
          <w:lang w:eastAsia="en-US" w:bidi="ar-SA"/>
        </w:rPr>
        <w:t xml:space="preserve">(angl. </w:t>
      </w:r>
      <w:r>
        <w:rPr>
          <w:rFonts w:eastAsiaTheme="minorEastAsia"/>
          <w:i/>
          <w:kern w:val="0"/>
          <w:szCs w:val="22"/>
          <w:lang w:eastAsia="en-US" w:bidi="ar-SA"/>
        </w:rPr>
        <w:t>Service Desk</w:t>
      </w:r>
      <w:r>
        <w:rPr>
          <w:rFonts w:eastAsiaTheme="minorEastAsia"/>
          <w:kern w:val="0"/>
          <w:szCs w:val="22"/>
          <w:lang w:eastAsia="en-US" w:bidi="ar-SA"/>
        </w:rPr>
        <w:t>), kuri tenkina šiuos reikalavimus:</w:t>
      </w:r>
    </w:p>
    <w:p w:rsidR="00EB54AB" w:rsidRDefault="00EB54AB" w:rsidP="00EB54AB">
      <w:pPr>
        <w:numPr>
          <w:ilvl w:val="0"/>
          <w:numId w:val="17"/>
        </w:numPr>
        <w:ind w:left="0" w:firstLine="680"/>
        <w:jc w:val="both"/>
        <w:textAlignment w:val="auto"/>
        <w:rPr>
          <w:rFonts w:eastAsia="Calibri"/>
          <w:kern w:val="0"/>
          <w:lang w:eastAsia="en-US" w:bidi="ar-SA"/>
        </w:rPr>
      </w:pPr>
      <w:r>
        <w:rPr>
          <w:rFonts w:eastAsia="Calibri"/>
          <w:kern w:val="0"/>
          <w:lang w:eastAsia="en-US" w:bidi="ar-SA"/>
        </w:rPr>
        <w:t xml:space="preserve">Sutarties vykdymo metu visi incidentai dėl modifikuotos PĮ registruojami Informacinių technologijų ir telekomunikacijų pagalbos tarnybos posistemėje </w:t>
      </w:r>
      <w:hyperlink r:id="rId8">
        <w:r>
          <w:rPr>
            <w:rFonts w:eastAsia="Calibri"/>
            <w:kern w:val="0"/>
            <w:lang w:eastAsia="en-US" w:bidi="ar-SA"/>
          </w:rPr>
          <w:t>https://ittpagalba.vrm.lt/MSM/</w:t>
        </w:r>
      </w:hyperlink>
      <w:r>
        <w:rPr>
          <w:rFonts w:eastAsia="Calibri"/>
          <w:kern w:val="0"/>
          <w:lang w:eastAsia="en-US" w:bidi="ar-SA"/>
        </w:rPr>
        <w:t xml:space="preserve"> ir perduodami tiekėjui el. paštu spręsti incidentus;</w:t>
      </w:r>
    </w:p>
    <w:p w:rsidR="00EB54AB" w:rsidRDefault="00EB54AB" w:rsidP="00EB54AB">
      <w:pPr>
        <w:numPr>
          <w:ilvl w:val="0"/>
          <w:numId w:val="26"/>
        </w:numPr>
        <w:ind w:left="0" w:firstLine="680"/>
        <w:contextualSpacing/>
        <w:jc w:val="both"/>
        <w:textAlignment w:val="auto"/>
        <w:rPr>
          <w:rFonts w:eastAsia="Calibri"/>
          <w:kern w:val="0"/>
          <w:lang w:eastAsia="en-US" w:bidi="ar-SA"/>
        </w:rPr>
      </w:pPr>
      <w:r>
        <w:rPr>
          <w:rFonts w:eastAsia="Calibri"/>
          <w:kern w:val="0"/>
          <w:lang w:eastAsia="en-US" w:bidi="ar-SA"/>
        </w:rPr>
        <w:t xml:space="preserve">Perkančioji organizacija </w:t>
      </w:r>
      <w:r>
        <w:rPr>
          <w:rFonts w:eastAsiaTheme="minorEastAsia"/>
          <w:kern w:val="0"/>
          <w:szCs w:val="22"/>
          <w:lang w:eastAsia="en-US" w:bidi="ar-SA"/>
        </w:rPr>
        <w:t xml:space="preserve">turės galimybę registruoti gedimų paraiškas (24x7x365), o tarnyba seks paraiškų vykdymo eigą ir </w:t>
      </w:r>
      <w:r>
        <w:rPr>
          <w:rFonts w:eastAsia="Calibri"/>
          <w:kern w:val="0"/>
          <w:lang w:eastAsia="en-US" w:bidi="ar-SA"/>
        </w:rPr>
        <w:t xml:space="preserve">informuos Perkančiąja organizaciją apie gedimų šalinimo rezultatus el. paštu </w:t>
      </w:r>
      <w:hyperlink r:id="rId9">
        <w:r>
          <w:rPr>
            <w:rFonts w:eastAsia="Calibri"/>
            <w:kern w:val="0"/>
            <w:lang w:eastAsia="en-US" w:bidi="ar-SA"/>
          </w:rPr>
          <w:t>ittpagalba@vrm.lt</w:t>
        </w:r>
      </w:hyperlink>
      <w:r>
        <w:rPr>
          <w:rFonts w:eastAsia="Calibri"/>
          <w:kern w:val="0"/>
          <w:lang w:eastAsia="en-US" w:bidi="ar-SA"/>
        </w:rPr>
        <w:t xml:space="preserve"> el. laiško antraštėje (angl. </w:t>
      </w:r>
      <w:r>
        <w:rPr>
          <w:rFonts w:eastAsia="Calibri"/>
          <w:i/>
          <w:kern w:val="0"/>
          <w:lang w:eastAsia="en-US" w:bidi="ar-SA"/>
        </w:rPr>
        <w:t>Subject</w:t>
      </w:r>
      <w:r>
        <w:rPr>
          <w:rFonts w:eastAsia="Calibri"/>
          <w:kern w:val="0"/>
          <w:lang w:eastAsia="en-US" w:bidi="ar-SA"/>
        </w:rPr>
        <w:t>), nurodydama tą patį incidento numerį;</w:t>
      </w:r>
    </w:p>
    <w:p w:rsidR="00EB54AB" w:rsidRDefault="00EB54AB" w:rsidP="00EB54AB">
      <w:pPr>
        <w:numPr>
          <w:ilvl w:val="0"/>
          <w:numId w:val="26"/>
        </w:numPr>
        <w:ind w:left="0" w:firstLine="680"/>
        <w:contextualSpacing/>
        <w:jc w:val="both"/>
        <w:textAlignment w:val="auto"/>
        <w:rPr>
          <w:rFonts w:eastAsiaTheme="minorEastAsia"/>
          <w:b/>
          <w:kern w:val="0"/>
          <w:lang w:eastAsia="en-US" w:bidi="ar-SA"/>
        </w:rPr>
      </w:pPr>
      <w:r>
        <w:rPr>
          <w:rFonts w:eastAsia="Calibri"/>
          <w:kern w:val="0"/>
          <w:lang w:eastAsia="en-US" w:bidi="ar-SA"/>
        </w:rPr>
        <w:t>Perkančioji organizacija</w:t>
      </w:r>
      <w:r>
        <w:rPr>
          <w:rFonts w:eastAsiaTheme="minorEastAsia"/>
          <w:kern w:val="0"/>
          <w:szCs w:val="22"/>
          <w:lang w:eastAsia="en-US" w:bidi="ar-SA"/>
        </w:rPr>
        <w:t xml:space="preserve"> turės galimybę naudoti vieną bendrą Klientų aptarnavimo tarnybos telefono numerį, kuriuo galima prisiskambinti iš fiksuoto ir mobilaus ryšio bet kuriuo paros metu, bet kurią savaitės dieną.</w:t>
      </w:r>
    </w:p>
    <w:p w:rsidR="00EB54AB" w:rsidRDefault="00EB54AB" w:rsidP="00EB54AB">
      <w:pPr>
        <w:numPr>
          <w:ilvl w:val="0"/>
          <w:numId w:val="17"/>
        </w:numPr>
        <w:ind w:left="0" w:firstLine="680"/>
        <w:jc w:val="both"/>
        <w:textAlignment w:val="auto"/>
        <w:rPr>
          <w:rFonts w:eastAsiaTheme="minorEastAsia"/>
          <w:b/>
          <w:kern w:val="0"/>
          <w:lang w:eastAsia="en-US" w:bidi="ar-SA"/>
        </w:rPr>
      </w:pPr>
      <w:r>
        <w:rPr>
          <w:rFonts w:eastAsia="Calibri"/>
          <w:kern w:val="0"/>
          <w:lang w:eastAsia="en-US" w:bidi="ar-SA"/>
        </w:rPr>
        <w:t>Turi būti parengtos prieinamos ir IRD tinkamos informavimo apie ANR PĮ klaidas ir netikslumus, jų registravimo ir taisymo veiksmų būseną priemonės:</w:t>
      </w:r>
    </w:p>
    <w:p w:rsidR="00EB54AB" w:rsidRDefault="00EB54AB" w:rsidP="00EB54AB">
      <w:pPr>
        <w:numPr>
          <w:ilvl w:val="0"/>
          <w:numId w:val="18"/>
        </w:numPr>
        <w:ind w:left="0" w:firstLine="680"/>
        <w:jc w:val="both"/>
        <w:textAlignment w:val="auto"/>
        <w:rPr>
          <w:rFonts w:eastAsiaTheme="minorEastAsia"/>
          <w:b/>
          <w:kern w:val="0"/>
          <w:lang w:eastAsia="en-US" w:bidi="ar-SA"/>
        </w:rPr>
      </w:pPr>
      <w:r>
        <w:rPr>
          <w:rFonts w:eastAsia="Calibri"/>
          <w:kern w:val="0"/>
          <w:lang w:eastAsia="en-US" w:bidi="ar-SA"/>
        </w:rPr>
        <w:t>IRD ir tiekėjo suderinti telefonai;</w:t>
      </w:r>
    </w:p>
    <w:p w:rsidR="00EB54AB" w:rsidRDefault="00EB54AB" w:rsidP="00EB54AB">
      <w:pPr>
        <w:numPr>
          <w:ilvl w:val="0"/>
          <w:numId w:val="18"/>
        </w:numPr>
        <w:ind w:left="0" w:firstLine="680"/>
        <w:jc w:val="both"/>
        <w:textAlignment w:val="auto"/>
        <w:rPr>
          <w:rFonts w:eastAsiaTheme="minorEastAsia"/>
          <w:b/>
          <w:kern w:val="0"/>
          <w:lang w:eastAsia="en-US" w:bidi="ar-SA"/>
        </w:rPr>
      </w:pPr>
      <w:r>
        <w:rPr>
          <w:rFonts w:eastAsia="Calibri"/>
          <w:kern w:val="0"/>
          <w:lang w:eastAsia="en-US" w:bidi="ar-SA"/>
        </w:rPr>
        <w:t>IRD ir tiekėjo suderinti el. pašto adresai;</w:t>
      </w:r>
    </w:p>
    <w:p w:rsidR="00EB54AB" w:rsidRDefault="00EB54AB" w:rsidP="00EB54AB">
      <w:pPr>
        <w:numPr>
          <w:ilvl w:val="0"/>
          <w:numId w:val="18"/>
        </w:numPr>
        <w:ind w:left="0" w:firstLine="680"/>
        <w:jc w:val="both"/>
        <w:textAlignment w:val="auto"/>
        <w:rPr>
          <w:rFonts w:eastAsiaTheme="minorEastAsia"/>
          <w:b/>
          <w:kern w:val="0"/>
          <w:lang w:eastAsia="en-US" w:bidi="ar-SA"/>
        </w:rPr>
      </w:pPr>
      <w:r>
        <w:rPr>
          <w:rFonts w:eastAsia="Calibri"/>
          <w:kern w:val="0"/>
          <w:lang w:eastAsia="en-US" w:bidi="ar-SA"/>
        </w:rPr>
        <w:t>klaidų registravimo informacinė sistema.</w:t>
      </w:r>
    </w:p>
    <w:p w:rsidR="00EB54AB" w:rsidRDefault="00EB54AB" w:rsidP="00EB54AB">
      <w:pPr>
        <w:numPr>
          <w:ilvl w:val="0"/>
          <w:numId w:val="17"/>
        </w:numPr>
        <w:ind w:left="0" w:firstLine="680"/>
        <w:jc w:val="both"/>
        <w:textAlignment w:val="auto"/>
        <w:rPr>
          <w:rFonts w:eastAsiaTheme="minorEastAsia"/>
          <w:b/>
          <w:kern w:val="0"/>
          <w:lang w:eastAsia="en-US" w:bidi="ar-SA"/>
        </w:rPr>
      </w:pPr>
      <w:r>
        <w:rPr>
          <w:rFonts w:eastAsia="Calibri"/>
          <w:kern w:val="0"/>
          <w:lang w:eastAsia="en-US" w:bidi="ar-SA"/>
        </w:rPr>
        <w:t>Garantinio laikotarpio metu IRD nurodymu ar tiekėjui savarankiškai aptikus ANR PĮ trūkumus, turi būti atliekami šie veiksmai:</w:t>
      </w:r>
    </w:p>
    <w:p w:rsidR="00EB54AB" w:rsidRDefault="00EB54AB" w:rsidP="00EB54AB">
      <w:pPr>
        <w:numPr>
          <w:ilvl w:val="0"/>
          <w:numId w:val="19"/>
        </w:numPr>
        <w:ind w:left="0" w:firstLine="680"/>
        <w:jc w:val="both"/>
        <w:textAlignment w:val="auto"/>
        <w:rPr>
          <w:rFonts w:eastAsiaTheme="minorEastAsia"/>
          <w:b/>
          <w:kern w:val="0"/>
          <w:lang w:eastAsia="en-US" w:bidi="ar-SA"/>
        </w:rPr>
      </w:pPr>
      <w:r>
        <w:rPr>
          <w:rFonts w:eastAsia="Calibri"/>
          <w:kern w:val="0"/>
          <w:lang w:eastAsia="en-US" w:bidi="ar-SA"/>
        </w:rPr>
        <w:t>klaidų ar netikslumų registravimas;</w:t>
      </w:r>
    </w:p>
    <w:p w:rsidR="00EB54AB" w:rsidRDefault="00EB54AB" w:rsidP="00EB54AB">
      <w:pPr>
        <w:numPr>
          <w:ilvl w:val="0"/>
          <w:numId w:val="19"/>
        </w:numPr>
        <w:ind w:left="0" w:firstLine="680"/>
        <w:jc w:val="both"/>
        <w:textAlignment w:val="auto"/>
        <w:rPr>
          <w:rFonts w:eastAsiaTheme="minorEastAsia"/>
          <w:b/>
          <w:kern w:val="0"/>
          <w:lang w:eastAsia="en-US" w:bidi="ar-SA"/>
        </w:rPr>
      </w:pPr>
      <w:r>
        <w:rPr>
          <w:rFonts w:eastAsia="Calibri"/>
          <w:kern w:val="0"/>
          <w:lang w:eastAsia="en-US" w:bidi="ar-SA"/>
        </w:rPr>
        <w:t>klaidų ar netikslumų taisymas, testavimas;</w:t>
      </w:r>
    </w:p>
    <w:p w:rsidR="00EB54AB" w:rsidRDefault="00EB54AB" w:rsidP="00EB54AB">
      <w:pPr>
        <w:numPr>
          <w:ilvl w:val="0"/>
          <w:numId w:val="19"/>
        </w:numPr>
        <w:ind w:left="0" w:firstLine="680"/>
        <w:jc w:val="both"/>
        <w:textAlignment w:val="auto"/>
        <w:rPr>
          <w:rFonts w:eastAsiaTheme="minorEastAsia"/>
          <w:b/>
          <w:kern w:val="0"/>
          <w:lang w:eastAsia="en-US" w:bidi="ar-SA"/>
        </w:rPr>
      </w:pPr>
      <w:r>
        <w:rPr>
          <w:rFonts w:eastAsia="Calibri"/>
          <w:kern w:val="0"/>
          <w:lang w:eastAsia="en-US" w:bidi="ar-SA"/>
        </w:rPr>
        <w:t>atnaujinimas, diegiant klaidų ir netikslumų pataisymus;</w:t>
      </w:r>
    </w:p>
    <w:p w:rsidR="00EB54AB" w:rsidRDefault="00EB54AB" w:rsidP="00EB54AB">
      <w:pPr>
        <w:numPr>
          <w:ilvl w:val="0"/>
          <w:numId w:val="19"/>
        </w:numPr>
        <w:ind w:left="0" w:firstLine="680"/>
        <w:jc w:val="both"/>
        <w:textAlignment w:val="auto"/>
        <w:rPr>
          <w:rFonts w:eastAsiaTheme="minorEastAsia"/>
          <w:b/>
          <w:kern w:val="0"/>
          <w:lang w:eastAsia="en-US" w:bidi="ar-SA"/>
        </w:rPr>
      </w:pPr>
      <w:r>
        <w:rPr>
          <w:rFonts w:eastAsia="Calibri"/>
          <w:kern w:val="0"/>
          <w:lang w:eastAsia="en-US" w:bidi="ar-SA"/>
        </w:rPr>
        <w:t>dokumentacijos tikslinimas.</w:t>
      </w:r>
    </w:p>
    <w:p w:rsidR="00EB54AB" w:rsidRDefault="00EB54AB" w:rsidP="00EB54AB">
      <w:pPr>
        <w:numPr>
          <w:ilvl w:val="0"/>
          <w:numId w:val="17"/>
        </w:numPr>
        <w:ind w:left="0" w:firstLine="680"/>
        <w:jc w:val="both"/>
        <w:textAlignment w:val="auto"/>
        <w:rPr>
          <w:rFonts w:eastAsiaTheme="minorEastAsia"/>
          <w:b/>
          <w:kern w:val="0"/>
          <w:lang w:eastAsia="en-US" w:bidi="ar-SA"/>
        </w:rPr>
      </w:pPr>
      <w:r>
        <w:rPr>
          <w:rFonts w:eastAsia="Calibri"/>
          <w:kern w:val="0"/>
          <w:lang w:eastAsia="en-US" w:bidi="ar-SA"/>
        </w:rPr>
        <w:t>Garantinės priežiūros paslaugos IRD turi būti teikiamos darbo dienomis oficialiai patvirtintu darbo laiku.</w:t>
      </w:r>
    </w:p>
    <w:p w:rsidR="00EB54AB" w:rsidRDefault="00EB54AB" w:rsidP="00EB54AB">
      <w:pPr>
        <w:numPr>
          <w:ilvl w:val="0"/>
          <w:numId w:val="17"/>
        </w:numPr>
        <w:ind w:left="0" w:firstLine="680"/>
        <w:jc w:val="both"/>
        <w:textAlignment w:val="auto"/>
        <w:rPr>
          <w:rFonts w:eastAsiaTheme="minorEastAsia"/>
          <w:b/>
          <w:kern w:val="0"/>
          <w:lang w:eastAsia="en-US" w:bidi="ar-SA"/>
        </w:rPr>
      </w:pPr>
      <w:r>
        <w:rPr>
          <w:rFonts w:eastAsia="Calibri"/>
          <w:kern w:val="0"/>
          <w:lang w:eastAsia="en-US" w:bidi="ar-SA"/>
        </w:rPr>
        <w:t>Sukurtos ANR PĮ klaidos ir (ar) trikdžiai klasifikuojami:</w:t>
      </w:r>
    </w:p>
    <w:p w:rsidR="00EB54AB" w:rsidRDefault="00EB54AB" w:rsidP="00EB54AB">
      <w:pPr>
        <w:numPr>
          <w:ilvl w:val="0"/>
          <w:numId w:val="20"/>
        </w:numPr>
        <w:ind w:left="0" w:firstLine="680"/>
        <w:jc w:val="both"/>
        <w:textAlignment w:val="auto"/>
        <w:rPr>
          <w:rFonts w:eastAsiaTheme="minorEastAsia"/>
          <w:b/>
          <w:kern w:val="0"/>
          <w:lang w:eastAsia="en-US" w:bidi="ar-SA"/>
        </w:rPr>
      </w:pPr>
      <w:r>
        <w:rPr>
          <w:rFonts w:eastAsia="Calibri"/>
          <w:kern w:val="0"/>
          <w:lang w:eastAsia="en-US" w:bidi="ar-SA"/>
        </w:rPr>
        <w:t>kritinė klaida – kai nustatyti trikdžiai ir (ar) problema, dėl kurių naudotojas negali vykdyti numatytų būtinų funkcijų ir nežinomas joks kitas alternatyvus šios funkcijos vykdymas;</w:t>
      </w:r>
    </w:p>
    <w:p w:rsidR="00EB54AB" w:rsidRDefault="00EB54AB" w:rsidP="00EB54AB">
      <w:pPr>
        <w:numPr>
          <w:ilvl w:val="0"/>
          <w:numId w:val="20"/>
        </w:numPr>
        <w:ind w:left="0" w:firstLine="680"/>
        <w:jc w:val="both"/>
        <w:textAlignment w:val="auto"/>
        <w:rPr>
          <w:rFonts w:eastAsiaTheme="minorEastAsia"/>
          <w:b/>
          <w:kern w:val="0"/>
          <w:lang w:eastAsia="en-US" w:bidi="ar-SA"/>
        </w:rPr>
      </w:pPr>
      <w:r>
        <w:rPr>
          <w:rFonts w:eastAsia="Calibri"/>
          <w:kern w:val="0"/>
          <w:lang w:eastAsia="en-US" w:bidi="ar-SA"/>
        </w:rPr>
        <w:t>svarbi klaida – kai nustatyti trikdžiai ir (ar) problema, kurie kliudo vykdyti būtinas funkcijas, tačiau yra žinomas alternatyvus funkcijos vykdymas;</w:t>
      </w:r>
    </w:p>
    <w:p w:rsidR="00EB54AB" w:rsidRDefault="00EB54AB" w:rsidP="00EB54AB">
      <w:pPr>
        <w:numPr>
          <w:ilvl w:val="0"/>
          <w:numId w:val="20"/>
        </w:numPr>
        <w:ind w:left="0" w:firstLine="680"/>
        <w:jc w:val="both"/>
        <w:textAlignment w:val="auto"/>
        <w:rPr>
          <w:rFonts w:eastAsiaTheme="minorEastAsia"/>
          <w:b/>
          <w:kern w:val="0"/>
          <w:lang w:eastAsia="en-US" w:bidi="ar-SA"/>
        </w:rPr>
      </w:pPr>
      <w:r>
        <w:rPr>
          <w:rFonts w:eastAsia="Calibri"/>
          <w:kern w:val="0"/>
          <w:lang w:eastAsia="en-US" w:bidi="ar-SA"/>
        </w:rPr>
        <w:t>kita klaida – kai nustatyti trikdžiai ir (ar) problema, kurie sukelia sunkumus naudojantis sistema, bet neįtakoja ANR PĮ funkcijų veikimo ir nedaro jokio kito poveikio sistemai.</w:t>
      </w:r>
    </w:p>
    <w:p w:rsidR="00EB54AB" w:rsidRDefault="00EB54AB" w:rsidP="00EB54AB">
      <w:pPr>
        <w:numPr>
          <w:ilvl w:val="0"/>
          <w:numId w:val="17"/>
        </w:numPr>
        <w:ind w:left="0" w:firstLine="680"/>
        <w:jc w:val="both"/>
        <w:textAlignment w:val="auto"/>
        <w:rPr>
          <w:rFonts w:eastAsiaTheme="minorEastAsia"/>
          <w:b/>
          <w:kern w:val="0"/>
          <w:lang w:eastAsia="en-US" w:bidi="ar-SA"/>
        </w:rPr>
      </w:pPr>
      <w:r>
        <w:rPr>
          <w:rFonts w:eastAsia="Calibri"/>
          <w:kern w:val="0"/>
          <w:lang w:eastAsia="en-US" w:bidi="ar-SA"/>
        </w:rPr>
        <w:t>Tiekėjas privalo pradėti analizuoti bei šalinti trikdžius ir (ar) klaidas tokiu grafiku:</w:t>
      </w:r>
    </w:p>
    <w:p w:rsidR="00EB54AB" w:rsidRDefault="00EB54AB" w:rsidP="00EB54AB">
      <w:pPr>
        <w:numPr>
          <w:ilvl w:val="0"/>
          <w:numId w:val="21"/>
        </w:numPr>
        <w:ind w:left="0" w:firstLine="680"/>
        <w:jc w:val="both"/>
        <w:textAlignment w:val="auto"/>
        <w:rPr>
          <w:rFonts w:eastAsiaTheme="minorEastAsia"/>
          <w:b/>
          <w:kern w:val="0"/>
          <w:lang w:eastAsia="en-US" w:bidi="ar-SA"/>
        </w:rPr>
      </w:pPr>
      <w:r>
        <w:rPr>
          <w:rFonts w:eastAsia="Calibri"/>
          <w:kern w:val="0"/>
          <w:lang w:eastAsia="en-US" w:bidi="ar-SA"/>
        </w:rPr>
        <w:t>kritinės klaidos atveju – ne vėliau kaip per 4 valandas;</w:t>
      </w:r>
    </w:p>
    <w:p w:rsidR="00EB54AB" w:rsidRDefault="00EB54AB" w:rsidP="00EB54AB">
      <w:pPr>
        <w:numPr>
          <w:ilvl w:val="0"/>
          <w:numId w:val="21"/>
        </w:numPr>
        <w:ind w:left="0" w:firstLine="680"/>
        <w:jc w:val="both"/>
        <w:textAlignment w:val="auto"/>
        <w:rPr>
          <w:rFonts w:eastAsiaTheme="minorEastAsia"/>
          <w:b/>
          <w:kern w:val="0"/>
          <w:lang w:eastAsia="en-US" w:bidi="ar-SA"/>
        </w:rPr>
      </w:pPr>
      <w:r>
        <w:rPr>
          <w:rFonts w:eastAsia="Calibri"/>
          <w:kern w:val="0"/>
          <w:lang w:eastAsia="en-US" w:bidi="ar-SA"/>
        </w:rPr>
        <w:t>svarbios klaidos atveju – ne vėliau kaip per 8 valandas;</w:t>
      </w:r>
    </w:p>
    <w:p w:rsidR="00EB54AB" w:rsidRDefault="00EB54AB" w:rsidP="00EB54AB">
      <w:pPr>
        <w:numPr>
          <w:ilvl w:val="0"/>
          <w:numId w:val="21"/>
        </w:numPr>
        <w:ind w:left="0" w:firstLine="680"/>
        <w:jc w:val="both"/>
        <w:textAlignment w:val="auto"/>
        <w:rPr>
          <w:rFonts w:eastAsiaTheme="minorEastAsia"/>
          <w:b/>
          <w:kern w:val="0"/>
          <w:lang w:eastAsia="en-US" w:bidi="ar-SA"/>
        </w:rPr>
      </w:pPr>
      <w:r>
        <w:rPr>
          <w:rFonts w:eastAsia="Calibri"/>
          <w:kern w:val="0"/>
          <w:lang w:eastAsia="en-US" w:bidi="ar-SA"/>
        </w:rPr>
        <w:t>kitos klaidos atveju – su perkančiąja organizacija suderintais terminais.</w:t>
      </w:r>
    </w:p>
    <w:p w:rsidR="00EB54AB" w:rsidRDefault="00EB54AB" w:rsidP="00EB54AB">
      <w:pPr>
        <w:numPr>
          <w:ilvl w:val="0"/>
          <w:numId w:val="17"/>
        </w:numPr>
        <w:ind w:left="0" w:firstLine="680"/>
        <w:jc w:val="both"/>
        <w:textAlignment w:val="auto"/>
        <w:rPr>
          <w:rFonts w:eastAsiaTheme="minorEastAsia"/>
          <w:b/>
          <w:kern w:val="0"/>
          <w:lang w:eastAsia="en-US" w:bidi="ar-SA"/>
        </w:rPr>
      </w:pPr>
      <w:r>
        <w:rPr>
          <w:rFonts w:eastAsia="Calibri"/>
          <w:kern w:val="0"/>
          <w:lang w:eastAsia="en-US" w:bidi="ar-SA"/>
        </w:rPr>
        <w:t>Informacija (ataskaita) apie pašalintas ar pataisytas klaidas ir (ar) trikdžius turi būti atnaujinama ir pateikiama ne rečiau kaip kartą per mėnesį.</w:t>
      </w:r>
    </w:p>
    <w:p w:rsidR="00EB54AB" w:rsidRDefault="00EB54AB" w:rsidP="00EB54AB">
      <w:pPr>
        <w:numPr>
          <w:ilvl w:val="0"/>
          <w:numId w:val="17"/>
        </w:numPr>
        <w:ind w:left="0" w:firstLine="680"/>
        <w:jc w:val="both"/>
        <w:textAlignment w:val="auto"/>
        <w:rPr>
          <w:rFonts w:eastAsiaTheme="minorEastAsia"/>
          <w:b/>
          <w:kern w:val="0"/>
          <w:lang w:eastAsia="en-US" w:bidi="ar-SA"/>
        </w:rPr>
      </w:pPr>
      <w:r>
        <w:rPr>
          <w:rFonts w:eastAsia="Calibri"/>
          <w:kern w:val="0"/>
          <w:lang w:eastAsia="en-US" w:bidi="ar-SA"/>
        </w:rPr>
        <w:t>Garantinės priežiūros paslaugos turi apimti:</w:t>
      </w:r>
    </w:p>
    <w:p w:rsidR="00EB54AB" w:rsidRDefault="00EB54AB" w:rsidP="00EB54AB">
      <w:pPr>
        <w:numPr>
          <w:ilvl w:val="3"/>
          <w:numId w:val="10"/>
        </w:numPr>
        <w:tabs>
          <w:tab w:val="left" w:pos="1701"/>
        </w:tabs>
        <w:ind w:left="0" w:firstLine="680"/>
        <w:contextualSpacing/>
        <w:jc w:val="both"/>
        <w:textAlignment w:val="auto"/>
        <w:rPr>
          <w:rFonts w:eastAsiaTheme="minorEastAsia"/>
          <w:b/>
          <w:kern w:val="0"/>
          <w:lang w:eastAsia="en-US" w:bidi="ar-SA"/>
        </w:rPr>
      </w:pPr>
      <w:r>
        <w:rPr>
          <w:rFonts w:eastAsia="Calibri"/>
          <w:kern w:val="0"/>
          <w:lang w:eastAsia="en-US" w:bidi="ar-SA"/>
        </w:rPr>
        <w:t>konsultavimo darbus – IRD darbuotojų konsultavimas darbo su ANR PĮ klausimais telefonu ir (arba) el. paštu, dalyvavimas klaidų aptarimuose;</w:t>
      </w:r>
    </w:p>
    <w:p w:rsidR="00EB54AB" w:rsidRDefault="00EB54AB" w:rsidP="00EB54AB">
      <w:pPr>
        <w:numPr>
          <w:ilvl w:val="3"/>
          <w:numId w:val="10"/>
        </w:numPr>
        <w:tabs>
          <w:tab w:val="left" w:pos="1701"/>
        </w:tabs>
        <w:ind w:left="0" w:firstLine="680"/>
        <w:contextualSpacing/>
        <w:jc w:val="both"/>
        <w:textAlignment w:val="auto"/>
        <w:rPr>
          <w:rFonts w:eastAsiaTheme="minorEastAsia"/>
          <w:b/>
          <w:kern w:val="0"/>
          <w:lang w:eastAsia="en-US" w:bidi="ar-SA"/>
        </w:rPr>
      </w:pPr>
      <w:r>
        <w:rPr>
          <w:rFonts w:eastAsia="Calibri"/>
          <w:kern w:val="0"/>
          <w:lang w:eastAsia="en-US" w:bidi="ar-SA"/>
        </w:rPr>
        <w:t>neatitikimų šalinimo ir klaidų taisymo paslaugas;</w:t>
      </w:r>
    </w:p>
    <w:p w:rsidR="00EB54AB" w:rsidRDefault="00EB54AB" w:rsidP="00EB54AB">
      <w:pPr>
        <w:numPr>
          <w:ilvl w:val="3"/>
          <w:numId w:val="10"/>
        </w:numPr>
        <w:tabs>
          <w:tab w:val="left" w:pos="1701"/>
        </w:tabs>
        <w:ind w:left="0" w:firstLine="680"/>
        <w:contextualSpacing/>
        <w:jc w:val="both"/>
        <w:textAlignment w:val="auto"/>
        <w:rPr>
          <w:rFonts w:eastAsiaTheme="minorEastAsia"/>
          <w:b/>
          <w:kern w:val="0"/>
          <w:lang w:eastAsia="en-US" w:bidi="ar-SA"/>
        </w:rPr>
      </w:pPr>
      <w:r>
        <w:rPr>
          <w:rFonts w:eastAsia="Calibri"/>
          <w:kern w:val="0"/>
          <w:lang w:eastAsia="en-US" w:bidi="ar-SA"/>
        </w:rPr>
        <w:t>sugadintų duomenų atstatymą, kai gedimo priežastis yra tiekėjo modernizuotos ANR PĮ netinkamas veikimas.</w:t>
      </w:r>
    </w:p>
    <w:p w:rsidR="00EB54AB" w:rsidRDefault="00EB54AB" w:rsidP="00EB54AB">
      <w:pPr>
        <w:suppressAutoHyphens w:val="0"/>
        <w:ind w:firstLine="1298"/>
        <w:jc w:val="both"/>
        <w:textAlignment w:val="auto"/>
        <w:rPr>
          <w:rFonts w:eastAsiaTheme="minorEastAsia"/>
          <w:b/>
          <w:kern w:val="0"/>
          <w:lang w:eastAsia="en-US" w:bidi="ar-SA"/>
        </w:rPr>
      </w:pPr>
    </w:p>
    <w:p w:rsidR="00EB54AB" w:rsidRDefault="00EB54AB" w:rsidP="00EB54AB">
      <w:pPr>
        <w:numPr>
          <w:ilvl w:val="0"/>
          <w:numId w:val="11"/>
        </w:numPr>
        <w:suppressAutoHyphens w:val="0"/>
        <w:spacing w:line="252" w:lineRule="auto"/>
        <w:ind w:left="0" w:firstLine="680"/>
        <w:jc w:val="both"/>
        <w:textAlignment w:val="auto"/>
        <w:rPr>
          <w:rFonts w:eastAsiaTheme="minorEastAsia"/>
          <w:b/>
          <w:kern w:val="0"/>
          <w:lang w:eastAsia="en-US" w:bidi="ar-SA"/>
        </w:rPr>
      </w:pPr>
      <w:r>
        <w:rPr>
          <w:rFonts w:eastAsiaTheme="minorEastAsia"/>
          <w:b/>
          <w:kern w:val="0"/>
          <w:lang w:eastAsia="en-US" w:bidi="ar-SA"/>
        </w:rPr>
        <w:t>Kiti reikalavimai</w:t>
      </w:r>
    </w:p>
    <w:p w:rsidR="00EB54AB" w:rsidRDefault="00EB54AB" w:rsidP="00EB54AB">
      <w:pPr>
        <w:numPr>
          <w:ilvl w:val="0"/>
          <w:numId w:val="22"/>
        </w:numPr>
        <w:ind w:left="0" w:firstLine="680"/>
        <w:jc w:val="both"/>
        <w:textAlignment w:val="auto"/>
        <w:rPr>
          <w:rFonts w:eastAsiaTheme="minorEastAsia"/>
          <w:kern w:val="0"/>
          <w:lang w:eastAsia="en-US" w:bidi="ar-SA"/>
        </w:rPr>
      </w:pPr>
      <w:r>
        <w:rPr>
          <w:rFonts w:eastAsiaTheme="minorEastAsia"/>
          <w:kern w:val="0"/>
          <w:lang w:eastAsia="en-US" w:bidi="ar-SA"/>
        </w:rPr>
        <w:t xml:space="preserve">Realizuojant naują ANR PĮ funkcionalumą ir funkcionalumo pakeitimus negali būti sutrikdytas esamas ANR funkcionalumas, kuriam nevykdomi pakeitimai, ar </w:t>
      </w:r>
      <w:r>
        <w:rPr>
          <w:rFonts w:eastAsia="Calibri"/>
          <w:kern w:val="0"/>
          <w:lang w:eastAsia="en-US" w:bidi="ar-SA"/>
        </w:rPr>
        <w:t>Perkančiosios organizacijos</w:t>
      </w:r>
      <w:r>
        <w:rPr>
          <w:rFonts w:eastAsiaTheme="minorEastAsia"/>
          <w:kern w:val="0"/>
          <w:lang w:eastAsia="en-US" w:bidi="ar-SA"/>
        </w:rPr>
        <w:t xml:space="preserve"> informacinių sistemų ar registrų veikimo stabilumas.</w:t>
      </w:r>
    </w:p>
    <w:p w:rsidR="00EB54AB" w:rsidRDefault="00EB54AB" w:rsidP="00EB54AB">
      <w:pPr>
        <w:numPr>
          <w:ilvl w:val="0"/>
          <w:numId w:val="22"/>
        </w:numPr>
        <w:ind w:left="0" w:firstLine="680"/>
        <w:jc w:val="both"/>
        <w:textAlignment w:val="auto"/>
        <w:rPr>
          <w:rFonts w:eastAsiaTheme="minorEastAsia"/>
          <w:kern w:val="0"/>
          <w:lang w:eastAsia="en-US" w:bidi="ar-SA"/>
        </w:rPr>
      </w:pPr>
      <w:r>
        <w:rPr>
          <w:rFonts w:eastAsiaTheme="minorEastAsia"/>
          <w:kern w:val="0"/>
          <w:lang w:eastAsia="en-US" w:bidi="ar-SA"/>
        </w:rPr>
        <w:t xml:space="preserve">Naujo ANR PĮ funkcionalumo ir funkcionalumo pakeitimų realizavimas neturi pareikalauti papildomos techninės ir licencijuojamos programinės įrangos arba papildomo </w:t>
      </w:r>
      <w:r>
        <w:rPr>
          <w:rFonts w:eastAsiaTheme="minorEastAsia"/>
          <w:kern w:val="0"/>
          <w:lang w:eastAsia="en-US" w:bidi="ar-SA"/>
        </w:rPr>
        <w:lastRenderedPageBreak/>
        <w:t>finansavimo. Naujas ANR funkcionalumas turi veikti IRD turimos programinės ir techninės įrangos aplinkoje.</w:t>
      </w:r>
    </w:p>
    <w:p w:rsidR="00EB54AB" w:rsidRDefault="00EB54AB" w:rsidP="00EB54AB">
      <w:pPr>
        <w:numPr>
          <w:ilvl w:val="0"/>
          <w:numId w:val="22"/>
        </w:numPr>
        <w:ind w:left="0" w:firstLine="680"/>
        <w:jc w:val="both"/>
        <w:textAlignment w:val="auto"/>
        <w:rPr>
          <w:rFonts w:eastAsiaTheme="minorEastAsia"/>
          <w:kern w:val="0"/>
          <w:lang w:eastAsia="en-US" w:bidi="ar-SA"/>
        </w:rPr>
      </w:pPr>
      <w:r>
        <w:rPr>
          <w:rFonts w:eastAsiaTheme="minorEastAsia"/>
          <w:kern w:val="0"/>
          <w:lang w:eastAsia="en-US" w:bidi="ar-SA"/>
        </w:rPr>
        <w:t xml:space="preserve">ANR PĮ naujų funkcionalumų sukūrimas bei esamų funkcionalumų modifikavimas turi užtikrinti duomenų nuoseklumą </w:t>
      </w:r>
      <w:r>
        <w:rPr>
          <w:rFonts w:eastAsiaTheme="minorEastAsia"/>
          <w:i/>
          <w:kern w:val="0"/>
          <w:lang w:eastAsia="en-US" w:bidi="ar-SA"/>
        </w:rPr>
        <w:t>(</w:t>
      </w:r>
      <w:r>
        <w:rPr>
          <w:rFonts w:eastAsiaTheme="minorEastAsia"/>
          <w:kern w:val="0"/>
          <w:lang w:eastAsia="en-US" w:bidi="ar-SA"/>
        </w:rPr>
        <w:t>angl</w:t>
      </w:r>
      <w:r>
        <w:rPr>
          <w:rFonts w:eastAsiaTheme="minorEastAsia"/>
          <w:i/>
          <w:kern w:val="0"/>
          <w:lang w:eastAsia="en-US" w:bidi="ar-SA"/>
        </w:rPr>
        <w:t>. consistency)</w:t>
      </w:r>
      <w:r>
        <w:rPr>
          <w:rFonts w:eastAsiaTheme="minorEastAsia"/>
          <w:kern w:val="0"/>
          <w:lang w:eastAsia="en-US" w:bidi="ar-SA"/>
        </w:rPr>
        <w:t xml:space="preserve">, nedalomumą </w:t>
      </w:r>
      <w:r>
        <w:rPr>
          <w:rFonts w:eastAsiaTheme="minorEastAsia"/>
          <w:i/>
          <w:kern w:val="0"/>
          <w:lang w:eastAsia="en-US" w:bidi="ar-SA"/>
        </w:rPr>
        <w:t>(</w:t>
      </w:r>
      <w:r>
        <w:rPr>
          <w:rFonts w:eastAsiaTheme="minorEastAsia"/>
          <w:kern w:val="0"/>
          <w:lang w:eastAsia="en-US" w:bidi="ar-SA"/>
        </w:rPr>
        <w:t>angl</w:t>
      </w:r>
      <w:r>
        <w:rPr>
          <w:rFonts w:eastAsiaTheme="minorEastAsia"/>
          <w:i/>
          <w:kern w:val="0"/>
          <w:lang w:eastAsia="en-US" w:bidi="ar-SA"/>
        </w:rPr>
        <w:t>. atomicity)</w:t>
      </w:r>
      <w:r>
        <w:rPr>
          <w:rFonts w:eastAsiaTheme="minorEastAsia"/>
          <w:kern w:val="0"/>
          <w:lang w:eastAsia="en-US" w:bidi="ar-SA"/>
        </w:rPr>
        <w:t xml:space="preserve">, patvarumą </w:t>
      </w:r>
      <w:r>
        <w:rPr>
          <w:rFonts w:eastAsiaTheme="minorEastAsia"/>
          <w:i/>
          <w:kern w:val="0"/>
          <w:lang w:eastAsia="en-US" w:bidi="ar-SA"/>
        </w:rPr>
        <w:t>(</w:t>
      </w:r>
      <w:r>
        <w:rPr>
          <w:rFonts w:eastAsiaTheme="minorEastAsia"/>
          <w:kern w:val="0"/>
          <w:lang w:eastAsia="en-US" w:bidi="ar-SA"/>
        </w:rPr>
        <w:t>angl</w:t>
      </w:r>
      <w:r>
        <w:rPr>
          <w:rFonts w:eastAsiaTheme="minorEastAsia"/>
          <w:i/>
          <w:kern w:val="0"/>
          <w:lang w:eastAsia="en-US" w:bidi="ar-SA"/>
        </w:rPr>
        <w:t>. durability)</w:t>
      </w:r>
      <w:r>
        <w:rPr>
          <w:rFonts w:eastAsiaTheme="minorEastAsia"/>
          <w:kern w:val="0"/>
          <w:lang w:eastAsia="en-US" w:bidi="ar-SA"/>
        </w:rPr>
        <w:t xml:space="preserve"> bei atskirtį </w:t>
      </w:r>
      <w:r>
        <w:rPr>
          <w:rFonts w:eastAsiaTheme="minorEastAsia"/>
          <w:i/>
          <w:kern w:val="0"/>
          <w:lang w:eastAsia="en-US" w:bidi="ar-SA"/>
        </w:rPr>
        <w:t>(</w:t>
      </w:r>
      <w:r>
        <w:rPr>
          <w:rFonts w:eastAsiaTheme="minorEastAsia"/>
          <w:kern w:val="0"/>
          <w:lang w:eastAsia="en-US" w:bidi="ar-SA"/>
        </w:rPr>
        <w:t>angl</w:t>
      </w:r>
      <w:r>
        <w:rPr>
          <w:rFonts w:eastAsiaTheme="minorEastAsia"/>
          <w:i/>
          <w:kern w:val="0"/>
          <w:lang w:eastAsia="en-US" w:bidi="ar-SA"/>
        </w:rPr>
        <w:t>. isolation)</w:t>
      </w:r>
      <w:r>
        <w:rPr>
          <w:rFonts w:eastAsiaTheme="minorEastAsia"/>
          <w:kern w:val="0"/>
          <w:lang w:eastAsia="en-US" w:bidi="ar-SA"/>
        </w:rPr>
        <w:t>.</w:t>
      </w:r>
    </w:p>
    <w:p w:rsidR="00EB54AB" w:rsidRDefault="00EB54AB" w:rsidP="00EB54AB">
      <w:pPr>
        <w:numPr>
          <w:ilvl w:val="0"/>
          <w:numId w:val="22"/>
        </w:numPr>
        <w:ind w:left="0" w:firstLine="680"/>
        <w:jc w:val="both"/>
        <w:textAlignment w:val="auto"/>
        <w:rPr>
          <w:rFonts w:eastAsiaTheme="minorEastAsia"/>
          <w:kern w:val="0"/>
          <w:lang w:eastAsia="en-US" w:bidi="ar-SA"/>
        </w:rPr>
      </w:pPr>
      <w:r>
        <w:rPr>
          <w:rFonts w:eastAsiaTheme="minorEastAsia"/>
          <w:kern w:val="0"/>
          <w:lang w:eastAsia="en-US" w:bidi="ar-SA"/>
        </w:rPr>
        <w:t>Naujai sukurti ANR funkcionalumai privalo:</w:t>
      </w:r>
    </w:p>
    <w:p w:rsidR="00EB54AB" w:rsidRDefault="00EB54AB" w:rsidP="00EB54AB">
      <w:pPr>
        <w:numPr>
          <w:ilvl w:val="0"/>
          <w:numId w:val="23"/>
        </w:numPr>
        <w:ind w:left="0" w:firstLine="680"/>
        <w:jc w:val="both"/>
        <w:textAlignment w:val="auto"/>
        <w:rPr>
          <w:rFonts w:eastAsiaTheme="minorEastAsia"/>
          <w:kern w:val="0"/>
          <w:lang w:eastAsia="en-US" w:bidi="ar-SA"/>
        </w:rPr>
      </w:pPr>
      <w:r>
        <w:rPr>
          <w:rFonts w:eastAsiaTheme="minorEastAsia"/>
          <w:kern w:val="0"/>
          <w:lang w:eastAsia="en-US" w:bidi="ar-SA"/>
        </w:rPr>
        <w:t>neįtakoti įprastinio ANR naudotojų darbo (netrikdyti duomenų paieškos, įvedimo, koregavimo, dokumentų bei ataskaitų generavimo);</w:t>
      </w:r>
    </w:p>
    <w:p w:rsidR="00EB54AB" w:rsidRDefault="00EB54AB" w:rsidP="00EB54AB">
      <w:pPr>
        <w:numPr>
          <w:ilvl w:val="0"/>
          <w:numId w:val="23"/>
        </w:numPr>
        <w:ind w:left="0" w:firstLine="680"/>
        <w:jc w:val="both"/>
        <w:textAlignment w:val="auto"/>
        <w:rPr>
          <w:rFonts w:eastAsiaTheme="minorEastAsia"/>
          <w:kern w:val="0"/>
          <w:lang w:eastAsia="en-US" w:bidi="ar-SA"/>
        </w:rPr>
      </w:pPr>
      <w:r>
        <w:rPr>
          <w:rFonts w:eastAsiaTheme="minorEastAsia"/>
          <w:kern w:val="0"/>
          <w:lang w:eastAsia="en-US" w:bidi="ar-SA"/>
        </w:rPr>
        <w:t>neįtakoti ANR duomenų bazėje saugomų duomenų, ataskaitų rezultatų, dokumentų turinio teisingumo;</w:t>
      </w:r>
    </w:p>
    <w:p w:rsidR="00EB54AB" w:rsidRDefault="00EB54AB" w:rsidP="00EB54AB">
      <w:pPr>
        <w:numPr>
          <w:ilvl w:val="0"/>
          <w:numId w:val="23"/>
        </w:numPr>
        <w:ind w:left="0" w:firstLine="680"/>
        <w:jc w:val="both"/>
        <w:textAlignment w:val="auto"/>
        <w:rPr>
          <w:rFonts w:eastAsiaTheme="minorEastAsia"/>
          <w:kern w:val="0"/>
          <w:lang w:eastAsia="en-US" w:bidi="ar-SA"/>
        </w:rPr>
      </w:pPr>
      <w:r>
        <w:rPr>
          <w:rFonts w:eastAsiaTheme="minorEastAsia"/>
          <w:kern w:val="0"/>
          <w:lang w:eastAsia="en-US" w:bidi="ar-SA"/>
        </w:rPr>
        <w:t>neperkrauti ANR aplikacijų, komponentų, duomenų bazių, aplikacijų serverių;</w:t>
      </w:r>
    </w:p>
    <w:p w:rsidR="00EB54AB" w:rsidRDefault="00EB54AB" w:rsidP="00EB54AB">
      <w:pPr>
        <w:numPr>
          <w:ilvl w:val="0"/>
          <w:numId w:val="23"/>
        </w:numPr>
        <w:ind w:left="0" w:firstLine="680"/>
        <w:jc w:val="both"/>
        <w:textAlignment w:val="auto"/>
        <w:rPr>
          <w:rFonts w:eastAsiaTheme="minorEastAsia"/>
          <w:kern w:val="0"/>
          <w:lang w:eastAsia="en-US" w:bidi="ar-SA"/>
        </w:rPr>
      </w:pPr>
      <w:r>
        <w:rPr>
          <w:rFonts w:eastAsiaTheme="minorEastAsia"/>
          <w:kern w:val="0"/>
          <w:lang w:eastAsia="en-US" w:bidi="ar-SA"/>
        </w:rPr>
        <w:t>apdoroti duomenis realiu laiku.</w:t>
      </w:r>
    </w:p>
    <w:p w:rsidR="00EB54AB" w:rsidRDefault="00EB54AB" w:rsidP="00EB54AB">
      <w:pPr>
        <w:numPr>
          <w:ilvl w:val="0"/>
          <w:numId w:val="24"/>
        </w:numPr>
        <w:ind w:left="0" w:firstLine="680"/>
        <w:jc w:val="both"/>
        <w:textAlignment w:val="auto"/>
        <w:rPr>
          <w:rFonts w:eastAsiaTheme="minorEastAsia"/>
          <w:kern w:val="0"/>
          <w:lang w:eastAsia="en-US" w:bidi="ar-SA"/>
        </w:rPr>
      </w:pPr>
      <w:r>
        <w:rPr>
          <w:rFonts w:eastAsiaTheme="minorEastAsia"/>
          <w:kern w:val="0"/>
          <w:lang w:eastAsia="en-US" w:bidi="ar-SA"/>
        </w:rPr>
        <w:t>Turi būti atnaujinti (sukurti nauji) reikalingi klasifikatoriai:</w:t>
      </w:r>
    </w:p>
    <w:p w:rsidR="00EB54AB" w:rsidRDefault="00EB54AB" w:rsidP="00EB54AB">
      <w:pPr>
        <w:numPr>
          <w:ilvl w:val="0"/>
          <w:numId w:val="25"/>
        </w:numPr>
        <w:ind w:left="0" w:firstLine="680"/>
        <w:jc w:val="both"/>
        <w:textAlignment w:val="auto"/>
        <w:rPr>
          <w:rFonts w:eastAsiaTheme="minorEastAsia"/>
          <w:kern w:val="0"/>
          <w:lang w:eastAsia="en-US" w:bidi="ar-SA"/>
        </w:rPr>
      </w:pPr>
      <w:r>
        <w:rPr>
          <w:rFonts w:eastAsiaTheme="minorEastAsia"/>
          <w:kern w:val="0"/>
          <w:lang w:eastAsia="en-US" w:bidi="ar-SA"/>
        </w:rPr>
        <w:t>atnaujintos (naujai sukurtos) visos klasifikatorių reikšmės, savybės, ryšiai;</w:t>
      </w:r>
    </w:p>
    <w:p w:rsidR="00EB54AB" w:rsidRDefault="00EB54AB" w:rsidP="00EB54AB">
      <w:pPr>
        <w:numPr>
          <w:ilvl w:val="0"/>
          <w:numId w:val="25"/>
        </w:numPr>
        <w:ind w:left="0" w:firstLine="680"/>
        <w:jc w:val="both"/>
        <w:textAlignment w:val="auto"/>
        <w:rPr>
          <w:rFonts w:eastAsiaTheme="minorEastAsia"/>
          <w:kern w:val="0"/>
          <w:lang w:eastAsia="en-US" w:bidi="ar-SA"/>
        </w:rPr>
      </w:pPr>
      <w:r>
        <w:rPr>
          <w:rFonts w:eastAsiaTheme="minorEastAsia"/>
          <w:kern w:val="0"/>
          <w:lang w:eastAsia="en-US" w:bidi="ar-SA"/>
        </w:rPr>
        <w:t>klasifikatorių reikšmės turi būti susietos su reikiamų išorinių sistemų (registrų) klasifikatoriais;</w:t>
      </w:r>
    </w:p>
    <w:p w:rsidR="00EB54AB" w:rsidRDefault="00EB54AB" w:rsidP="00EB54AB">
      <w:pPr>
        <w:numPr>
          <w:ilvl w:val="0"/>
          <w:numId w:val="25"/>
        </w:numPr>
        <w:ind w:left="0" w:firstLine="680"/>
        <w:jc w:val="both"/>
        <w:textAlignment w:val="auto"/>
        <w:rPr>
          <w:rFonts w:eastAsiaTheme="minorEastAsia"/>
          <w:kern w:val="0"/>
          <w:lang w:eastAsia="en-US" w:bidi="ar-SA"/>
        </w:rPr>
      </w:pPr>
      <w:r>
        <w:rPr>
          <w:rFonts w:eastAsiaTheme="minorEastAsia"/>
          <w:kern w:val="0"/>
          <w:lang w:eastAsia="en-US" w:bidi="ar-SA"/>
        </w:rPr>
        <w:t>klasifikatorių reikšmės turi būti įkeltos į VRIS klasifikatorių posistemės testavimo bei darbines aplinkas ir betarpiškai susietos su ANR testine (mokomąja) ir darbine aplikacijos versijomis. Visas klaidas, susijusias su neteisingu, klaidingu klasifikatorių reikšmių, savybių atvaizdavimu bei ryšiais tarp jų, tiekėjas turi ištaisyti savo lėšomis.</w:t>
      </w:r>
    </w:p>
    <w:p w:rsidR="00EB54AB" w:rsidRDefault="00EB54AB" w:rsidP="00EB54AB">
      <w:pPr>
        <w:numPr>
          <w:ilvl w:val="0"/>
          <w:numId w:val="24"/>
        </w:numPr>
        <w:ind w:left="0" w:firstLine="680"/>
        <w:jc w:val="both"/>
        <w:textAlignment w:val="auto"/>
        <w:rPr>
          <w:rFonts w:eastAsiaTheme="minorEastAsia"/>
          <w:kern w:val="0"/>
          <w:lang w:eastAsia="en-US" w:bidi="ar-SA"/>
        </w:rPr>
      </w:pPr>
      <w:r>
        <w:rPr>
          <w:rFonts w:eastAsiaTheme="minorEastAsia"/>
          <w:kern w:val="0"/>
          <w:lang w:eastAsia="en-US" w:bidi="ar-SA"/>
        </w:rPr>
        <w:t>Visi automatinių procesų (padaryti ANR naudotojų) veiksmai turi būti audituojami VRIS AUDIT III sistemoje.</w:t>
      </w:r>
    </w:p>
    <w:p w:rsidR="00EB54AB" w:rsidRDefault="00EB54AB" w:rsidP="00EB54AB">
      <w:pPr>
        <w:numPr>
          <w:ilvl w:val="0"/>
          <w:numId w:val="24"/>
        </w:numPr>
        <w:ind w:left="0" w:firstLine="680"/>
        <w:jc w:val="both"/>
        <w:textAlignment w:val="auto"/>
        <w:rPr>
          <w:rFonts w:eastAsiaTheme="minorEastAsia"/>
          <w:kern w:val="0"/>
          <w:lang w:eastAsia="en-US" w:bidi="ar-SA"/>
        </w:rPr>
      </w:pPr>
      <w:r>
        <w:rPr>
          <w:rFonts w:eastAsiaTheme="minorEastAsia"/>
          <w:kern w:val="0"/>
          <w:lang w:eastAsia="en-US" w:bidi="ar-SA"/>
        </w:rPr>
        <w:t>Sėkmingai ištestuoti reikalavimai turi būti įdiegti ne tik darbinėje ANR aplinkoje, bet ir mokomojoje ANR aplinkoje.</w:t>
      </w:r>
    </w:p>
    <w:p w:rsidR="00EB54AB" w:rsidRDefault="00EB54AB" w:rsidP="00EB54AB">
      <w:pPr>
        <w:jc w:val="both"/>
        <w:rPr>
          <w:rFonts w:eastAsiaTheme="minorEastAsia"/>
          <w:kern w:val="0"/>
          <w:lang w:eastAsia="en-US" w:bidi="ar-SA"/>
        </w:rPr>
      </w:pPr>
    </w:p>
    <w:p w:rsidR="00EB54AB" w:rsidRDefault="00EB54AB" w:rsidP="00EB54AB">
      <w:pPr>
        <w:numPr>
          <w:ilvl w:val="0"/>
          <w:numId w:val="2"/>
        </w:numPr>
        <w:tabs>
          <w:tab w:val="left" w:pos="0"/>
          <w:tab w:val="left" w:pos="1134"/>
          <w:tab w:val="left" w:pos="1418"/>
        </w:tabs>
        <w:suppressAutoHyphens w:val="0"/>
        <w:spacing w:line="252" w:lineRule="auto"/>
        <w:ind w:left="0" w:firstLine="680"/>
        <w:contextualSpacing/>
        <w:jc w:val="center"/>
        <w:textAlignment w:val="auto"/>
        <w:rPr>
          <w:b/>
          <w:bCs/>
          <w:color w:val="000000"/>
          <w:kern w:val="0"/>
          <w:lang w:eastAsia="en-US" w:bidi="ar-SA"/>
        </w:rPr>
      </w:pPr>
      <w:r>
        <w:rPr>
          <w:b/>
          <w:bCs/>
          <w:color w:val="000000"/>
          <w:kern w:val="0"/>
          <w:lang w:eastAsia="en-US" w:bidi="ar-SA"/>
        </w:rPr>
        <w:t>BAIGIAMOSIOS NUOSTATOS</w:t>
      </w:r>
    </w:p>
    <w:p w:rsidR="00EB54AB" w:rsidRDefault="00EB54AB" w:rsidP="00EB54AB">
      <w:pPr>
        <w:tabs>
          <w:tab w:val="left" w:pos="1276"/>
        </w:tabs>
        <w:suppressAutoHyphens w:val="0"/>
        <w:ind w:firstLine="680"/>
        <w:contextualSpacing/>
        <w:jc w:val="both"/>
        <w:textAlignment w:val="auto"/>
        <w:rPr>
          <w:rFonts w:eastAsia="Calibri"/>
          <w:b/>
          <w:color w:val="000000"/>
          <w:kern w:val="0"/>
          <w:lang w:eastAsia="en-US" w:bidi="ar-SA"/>
        </w:rPr>
      </w:pPr>
    </w:p>
    <w:p w:rsidR="00EB54AB" w:rsidRDefault="00EB54AB" w:rsidP="00EB54AB">
      <w:pPr>
        <w:numPr>
          <w:ilvl w:val="1"/>
          <w:numId w:val="9"/>
        </w:numPr>
        <w:tabs>
          <w:tab w:val="left" w:pos="1134"/>
        </w:tabs>
        <w:ind w:left="0" w:firstLine="680"/>
        <w:contextualSpacing/>
        <w:jc w:val="both"/>
        <w:textAlignment w:val="auto"/>
        <w:rPr>
          <w:rFonts w:eastAsia="Calibri"/>
          <w:kern w:val="0"/>
          <w:lang w:eastAsia="en-US" w:bidi="ar-SA"/>
        </w:rPr>
      </w:pPr>
      <w:r>
        <w:rPr>
          <w:rFonts w:eastAsia="Calibri"/>
          <w:kern w:val="0"/>
          <w:lang w:eastAsia="en-US" w:bidi="ar-SA"/>
        </w:rPr>
        <w:t>Pagrindinė reikalavimų tenkinimo nuostata: naujai realizuoti (modifikuoti) Registro PĮ funkcionalumai, sauga, greitaveika, patogumas turi būti ne prastesni nei dabartiniai.</w:t>
      </w:r>
    </w:p>
    <w:p w:rsidR="00EE3A62" w:rsidRDefault="00EE3A62"/>
    <w:p w:rsidR="00EB54AB" w:rsidRDefault="00EB54AB"/>
    <w:tbl>
      <w:tblPr>
        <w:tblpPr w:leftFromText="180" w:rightFromText="180" w:vertAnchor="text" w:horzAnchor="margin" w:tblpY="101"/>
        <w:tblW w:w="8992" w:type="dxa"/>
        <w:tblLook w:val="0000" w:firstRow="0" w:lastRow="0" w:firstColumn="0" w:lastColumn="0" w:noHBand="0" w:noVBand="0"/>
      </w:tblPr>
      <w:tblGrid>
        <w:gridCol w:w="4820"/>
        <w:gridCol w:w="4172"/>
      </w:tblGrid>
      <w:tr w:rsidR="00EB54AB" w:rsidRPr="00E26B0B" w:rsidTr="0033464C">
        <w:trPr>
          <w:trHeight w:val="4703"/>
        </w:trPr>
        <w:tc>
          <w:tcPr>
            <w:tcW w:w="4820" w:type="dxa"/>
            <w:shd w:val="clear" w:color="auto" w:fill="auto"/>
          </w:tcPr>
          <w:p w:rsidR="00EB54AB" w:rsidRPr="00E26B0B" w:rsidRDefault="00EB54AB" w:rsidP="0033464C">
            <w:pPr>
              <w:rPr>
                <w:b/>
              </w:rPr>
            </w:pPr>
          </w:p>
          <w:p w:rsidR="00EB54AB" w:rsidRPr="00E26B0B" w:rsidRDefault="00EB54AB" w:rsidP="0033464C">
            <w:pPr>
              <w:rPr>
                <w:b/>
              </w:rPr>
            </w:pPr>
          </w:p>
          <w:p w:rsidR="00EB54AB" w:rsidRPr="00E26B0B" w:rsidRDefault="00EB54AB" w:rsidP="0033464C">
            <w:pPr>
              <w:rPr>
                <w:b/>
              </w:rPr>
            </w:pPr>
            <w:r w:rsidRPr="00E26B0B">
              <w:rPr>
                <w:b/>
              </w:rPr>
              <w:t>KLIENTAS</w:t>
            </w:r>
          </w:p>
          <w:p w:rsidR="00EB54AB" w:rsidRPr="00E26B0B" w:rsidRDefault="00EB54AB" w:rsidP="0033464C">
            <w:pPr>
              <w:rPr>
                <w:b/>
              </w:rPr>
            </w:pPr>
          </w:p>
          <w:p w:rsidR="00EB54AB" w:rsidRPr="00E26B0B" w:rsidRDefault="00EB54AB" w:rsidP="0033464C">
            <w:pPr>
              <w:jc w:val="both"/>
              <w:rPr>
                <w:b/>
                <w:bCs/>
              </w:rPr>
            </w:pPr>
            <w:r w:rsidRPr="00E26B0B">
              <w:rPr>
                <w:b/>
                <w:bCs/>
              </w:rPr>
              <w:t xml:space="preserve">Informacijos ir ryšių departamentas </w:t>
            </w:r>
          </w:p>
          <w:p w:rsidR="00EB54AB" w:rsidRPr="00E26B0B" w:rsidRDefault="00EB54AB" w:rsidP="0033464C">
            <w:pPr>
              <w:jc w:val="both"/>
              <w:rPr>
                <w:b/>
                <w:bCs/>
              </w:rPr>
            </w:pPr>
            <w:r w:rsidRPr="00E26B0B">
              <w:rPr>
                <w:b/>
                <w:bCs/>
              </w:rPr>
              <w:t xml:space="preserve">prie Lietuvos Respublikos vidaus </w:t>
            </w:r>
          </w:p>
          <w:p w:rsidR="00EB54AB" w:rsidRPr="00E26B0B" w:rsidRDefault="00EB54AB" w:rsidP="0033464C">
            <w:pPr>
              <w:jc w:val="both"/>
              <w:rPr>
                <w:b/>
                <w:bCs/>
              </w:rPr>
            </w:pPr>
            <w:r w:rsidRPr="00E26B0B">
              <w:rPr>
                <w:b/>
                <w:bCs/>
              </w:rPr>
              <w:t>reikalų ministerijos</w:t>
            </w:r>
          </w:p>
          <w:p w:rsidR="00EB54AB" w:rsidRPr="00E26B0B" w:rsidRDefault="00EB54AB" w:rsidP="0033464C">
            <w:pPr>
              <w:jc w:val="both"/>
            </w:pPr>
          </w:p>
          <w:p w:rsidR="00EB54AB" w:rsidRPr="00E26B0B" w:rsidRDefault="00EB54AB" w:rsidP="0033464C">
            <w:pPr>
              <w:jc w:val="both"/>
            </w:pPr>
          </w:p>
          <w:p w:rsidR="00EB54AB" w:rsidRPr="00E26B0B" w:rsidRDefault="00EB54AB" w:rsidP="0033464C">
            <w:r>
              <w:t>Direktorius</w:t>
            </w:r>
          </w:p>
          <w:p w:rsidR="00EB54AB" w:rsidRPr="00E26B0B" w:rsidRDefault="00EB54AB" w:rsidP="0033464C"/>
          <w:p w:rsidR="00EB54AB" w:rsidRPr="00E26B0B" w:rsidRDefault="004F1E92" w:rsidP="0033464C">
            <w:pPr>
              <w:ind w:right="175"/>
              <w:rPr>
                <w:b/>
              </w:rPr>
            </w:pPr>
            <w:r>
              <w:t>&lt;...&gt;</w:t>
            </w:r>
          </w:p>
        </w:tc>
        <w:tc>
          <w:tcPr>
            <w:tcW w:w="4172" w:type="dxa"/>
            <w:shd w:val="clear" w:color="auto" w:fill="auto"/>
          </w:tcPr>
          <w:p w:rsidR="00EB54AB" w:rsidRPr="00E26B0B" w:rsidRDefault="00EB54AB" w:rsidP="0033464C">
            <w:pPr>
              <w:rPr>
                <w:b/>
              </w:rPr>
            </w:pPr>
          </w:p>
          <w:p w:rsidR="00EB54AB" w:rsidRPr="00E26B0B" w:rsidRDefault="00EB54AB" w:rsidP="0033464C">
            <w:pPr>
              <w:rPr>
                <w:b/>
              </w:rPr>
            </w:pPr>
          </w:p>
          <w:p w:rsidR="00EB54AB" w:rsidRPr="00E26B0B" w:rsidRDefault="00EB54AB" w:rsidP="0033464C">
            <w:pPr>
              <w:rPr>
                <w:b/>
              </w:rPr>
            </w:pPr>
            <w:r w:rsidRPr="00E26B0B">
              <w:rPr>
                <w:b/>
              </w:rPr>
              <w:t>PASLAUGŲ TEIKĖJAS</w:t>
            </w:r>
          </w:p>
          <w:p w:rsidR="00EB54AB" w:rsidRPr="00E26B0B" w:rsidRDefault="00EB54AB" w:rsidP="0033464C">
            <w:pPr>
              <w:rPr>
                <w:bCs/>
              </w:rPr>
            </w:pPr>
          </w:p>
          <w:p w:rsidR="00EB54AB" w:rsidRPr="00E26B0B" w:rsidRDefault="00EB54AB" w:rsidP="0033464C">
            <w:pPr>
              <w:pStyle w:val="Antrat1"/>
              <w:tabs>
                <w:tab w:val="left" w:pos="9360"/>
              </w:tabs>
              <w:spacing w:line="276" w:lineRule="auto"/>
              <w:rPr>
                <w:b w:val="0"/>
              </w:rPr>
            </w:pPr>
            <w:r w:rsidRPr="00E26B0B">
              <w:t xml:space="preserve">UAB  </w:t>
            </w:r>
            <w:r>
              <w:t>„Insoft“</w:t>
            </w:r>
          </w:p>
          <w:p w:rsidR="00EB54AB" w:rsidRPr="00E26B0B" w:rsidRDefault="00EB54AB" w:rsidP="0033464C"/>
          <w:p w:rsidR="00EB54AB" w:rsidRPr="00E26B0B" w:rsidRDefault="00EB54AB" w:rsidP="0033464C">
            <w:pPr>
              <w:rPr>
                <w:color w:val="000000"/>
              </w:rPr>
            </w:pPr>
          </w:p>
          <w:p w:rsidR="00EB54AB" w:rsidRPr="00E26B0B" w:rsidRDefault="00EB54AB" w:rsidP="0033464C">
            <w:pPr>
              <w:rPr>
                <w:color w:val="000000"/>
              </w:rPr>
            </w:pPr>
          </w:p>
          <w:p w:rsidR="00EB54AB" w:rsidRPr="00E26B0B" w:rsidRDefault="00EB54AB" w:rsidP="0033464C">
            <w:pPr>
              <w:rPr>
                <w:color w:val="000000"/>
              </w:rPr>
            </w:pPr>
          </w:p>
          <w:p w:rsidR="00EB54AB" w:rsidRPr="00E26B0B" w:rsidRDefault="00EB54AB" w:rsidP="0033464C">
            <w:pPr>
              <w:rPr>
                <w:color w:val="000000"/>
              </w:rPr>
            </w:pPr>
            <w:r>
              <w:rPr>
                <w:color w:val="000000"/>
              </w:rPr>
              <w:t>Direktorius</w:t>
            </w:r>
          </w:p>
          <w:p w:rsidR="00EB54AB" w:rsidRPr="00E26B0B" w:rsidRDefault="00EB54AB" w:rsidP="0033464C">
            <w:pPr>
              <w:rPr>
                <w:color w:val="000000"/>
              </w:rPr>
            </w:pPr>
          </w:p>
          <w:p w:rsidR="00EB54AB" w:rsidRPr="00E26B0B" w:rsidRDefault="004F1E92" w:rsidP="0033464C">
            <w:r>
              <w:rPr>
                <w:color w:val="000000"/>
              </w:rPr>
              <w:t>&lt;...&gt;</w:t>
            </w:r>
            <w:bookmarkStart w:id="12" w:name="_GoBack"/>
            <w:bookmarkEnd w:id="12"/>
          </w:p>
        </w:tc>
      </w:tr>
    </w:tbl>
    <w:p w:rsidR="00EB54AB" w:rsidRDefault="00EB54AB"/>
    <w:sectPr w:rsidR="00EB54AB" w:rsidSect="00EB54AB">
      <w:headerReference w:type="default" r:id="rId10"/>
      <w:pgSz w:w="11906" w:h="16838"/>
      <w:pgMar w:top="851"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8DB" w:rsidRDefault="008508DB" w:rsidP="00EB54AB">
      <w:r>
        <w:separator/>
      </w:r>
    </w:p>
  </w:endnote>
  <w:endnote w:type="continuationSeparator" w:id="0">
    <w:p w:rsidR="008508DB" w:rsidRDefault="008508DB" w:rsidP="00EB5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BA"/>
    <w:family w:val="roman"/>
    <w:pitch w:val="variable"/>
  </w:font>
  <w:font w:name="SimSun, 宋体">
    <w:panose1 w:val="00000000000000000000"/>
    <w:charset w:val="8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8DB" w:rsidRDefault="008508DB" w:rsidP="00EB54AB">
      <w:r>
        <w:separator/>
      </w:r>
    </w:p>
  </w:footnote>
  <w:footnote w:type="continuationSeparator" w:id="0">
    <w:p w:rsidR="008508DB" w:rsidRDefault="008508DB" w:rsidP="00EB54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673829"/>
      <w:docPartObj>
        <w:docPartGallery w:val="Page Numbers (Top of Page)"/>
        <w:docPartUnique/>
      </w:docPartObj>
    </w:sdtPr>
    <w:sdtEndPr/>
    <w:sdtContent>
      <w:p w:rsidR="00EB54AB" w:rsidRDefault="00EB54AB">
        <w:pPr>
          <w:pStyle w:val="Antrats"/>
          <w:jc w:val="center"/>
        </w:pPr>
        <w:r>
          <w:fldChar w:fldCharType="begin"/>
        </w:r>
        <w:r>
          <w:instrText>PAGE   \* MERGEFORMAT</w:instrText>
        </w:r>
        <w:r>
          <w:fldChar w:fldCharType="separate"/>
        </w:r>
        <w:r w:rsidR="004F1E92">
          <w:rPr>
            <w:noProof/>
          </w:rPr>
          <w:t>14</w:t>
        </w:r>
        <w:r>
          <w:fldChar w:fldCharType="end"/>
        </w:r>
      </w:p>
    </w:sdtContent>
  </w:sdt>
  <w:p w:rsidR="00EB54AB" w:rsidRDefault="00EB54AB">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508E9"/>
    <w:multiLevelType w:val="multilevel"/>
    <w:tmpl w:val="005E88CA"/>
    <w:lvl w:ilvl="0">
      <w:start w:val="1"/>
      <w:numFmt w:val="decimal"/>
      <w:lvlText w:val="4.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D049D3"/>
    <w:multiLevelType w:val="multilevel"/>
    <w:tmpl w:val="F4088D02"/>
    <w:lvl w:ilvl="0">
      <w:start w:val="1"/>
      <w:numFmt w:val="decimal"/>
      <w:suff w:val="space"/>
      <w:lvlText w:val="4.6.6.%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51E7047"/>
    <w:multiLevelType w:val="multilevel"/>
    <w:tmpl w:val="5CB274FA"/>
    <w:lvl w:ilvl="0">
      <w:start w:val="4"/>
      <w:numFmt w:val="decimal"/>
      <w:lvlText w:val="%1."/>
      <w:lvlJc w:val="left"/>
      <w:pPr>
        <w:tabs>
          <w:tab w:val="num" w:pos="0"/>
        </w:tabs>
        <w:ind w:left="360" w:hanging="360"/>
      </w:pPr>
    </w:lvl>
    <w:lvl w:ilvl="1">
      <w:start w:val="1"/>
      <w:numFmt w:val="decimal"/>
      <w:lvlText w:val="5.%2."/>
      <w:lvlJc w:val="left"/>
      <w:pPr>
        <w:tabs>
          <w:tab w:val="num" w:pos="0"/>
        </w:tabs>
        <w:ind w:left="360" w:hanging="360"/>
      </w:pPr>
      <w:rPr>
        <w:sz w:val="24"/>
        <w:szCs w:val="24"/>
      </w:rPr>
    </w:lvl>
    <w:lvl w:ilvl="2">
      <w:start w:val="1"/>
      <w:numFmt w:val="decimal"/>
      <w:lvlText w:val="%1.%2.%3."/>
      <w:lvlJc w:val="left"/>
      <w:pPr>
        <w:tabs>
          <w:tab w:val="num" w:pos="0"/>
        </w:tabs>
        <w:ind w:left="2140" w:hanging="720"/>
      </w:p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3" w15:restartNumberingAfterBreak="0">
    <w:nsid w:val="080134F5"/>
    <w:multiLevelType w:val="multilevel"/>
    <w:tmpl w:val="9074202C"/>
    <w:lvl w:ilvl="0">
      <w:start w:val="1"/>
      <w:numFmt w:val="decimal"/>
      <w:lvlText w:val="4.1.%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90C48B8"/>
    <w:multiLevelType w:val="multilevel"/>
    <w:tmpl w:val="19DEBDA8"/>
    <w:lvl w:ilvl="0">
      <w:start w:val="1"/>
      <w:numFmt w:val="decimal"/>
      <w:suff w:val="space"/>
      <w:lvlText w:val="4.5.9.%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7E621F"/>
    <w:multiLevelType w:val="hybridMultilevel"/>
    <w:tmpl w:val="7B5C1340"/>
    <w:lvl w:ilvl="0" w:tplc="3074417A">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9F2413D"/>
    <w:multiLevelType w:val="multilevel"/>
    <w:tmpl w:val="13A27374"/>
    <w:lvl w:ilvl="0">
      <w:start w:val="4"/>
      <w:numFmt w:val="decimal"/>
      <w:lvlText w:val="%1."/>
      <w:lvlJc w:val="left"/>
      <w:pPr>
        <w:tabs>
          <w:tab w:val="num" w:pos="0"/>
        </w:tabs>
        <w:ind w:left="720" w:hanging="360"/>
      </w:pPr>
      <w:rPr>
        <w:rFonts w:cs="Times New Roman"/>
        <w:b/>
      </w:rPr>
    </w:lvl>
    <w:lvl w:ilvl="1">
      <w:start w:val="5"/>
      <w:numFmt w:val="decimal"/>
      <w:lvlText w:val="%1.%2."/>
      <w:lvlJc w:val="left"/>
      <w:pPr>
        <w:tabs>
          <w:tab w:val="num" w:pos="0"/>
        </w:tabs>
        <w:ind w:left="1440" w:hanging="840"/>
      </w:pPr>
      <w:rPr>
        <w:rFonts w:eastAsia="Calibri"/>
        <w:b w:val="0"/>
      </w:rPr>
    </w:lvl>
    <w:lvl w:ilvl="2">
      <w:start w:val="11"/>
      <w:numFmt w:val="decimal"/>
      <w:lvlText w:val="%1.%2.%3."/>
      <w:lvlJc w:val="left"/>
      <w:pPr>
        <w:tabs>
          <w:tab w:val="num" w:pos="0"/>
        </w:tabs>
        <w:ind w:left="1680" w:hanging="840"/>
      </w:pPr>
      <w:rPr>
        <w:rFonts w:eastAsia="Calibri"/>
        <w:b w:val="0"/>
      </w:rPr>
    </w:lvl>
    <w:lvl w:ilvl="3">
      <w:start w:val="1"/>
      <w:numFmt w:val="decimal"/>
      <w:lvlText w:val="%1.%2.%3.%4."/>
      <w:lvlJc w:val="left"/>
      <w:pPr>
        <w:tabs>
          <w:tab w:val="num" w:pos="0"/>
        </w:tabs>
        <w:ind w:left="1920" w:hanging="840"/>
      </w:pPr>
      <w:rPr>
        <w:rFonts w:eastAsia="Calibri"/>
        <w:b w:val="0"/>
      </w:rPr>
    </w:lvl>
    <w:lvl w:ilvl="4">
      <w:start w:val="1"/>
      <w:numFmt w:val="decimal"/>
      <w:lvlText w:val="%1.%2.%3.%4.%5."/>
      <w:lvlJc w:val="left"/>
      <w:pPr>
        <w:tabs>
          <w:tab w:val="num" w:pos="0"/>
        </w:tabs>
        <w:ind w:left="2400" w:hanging="1080"/>
      </w:pPr>
      <w:rPr>
        <w:rFonts w:eastAsia="Calibri"/>
        <w:b w:val="0"/>
      </w:rPr>
    </w:lvl>
    <w:lvl w:ilvl="5">
      <w:start w:val="1"/>
      <w:numFmt w:val="decimal"/>
      <w:lvlText w:val="%1.%2.%3.%4.%5.%6."/>
      <w:lvlJc w:val="left"/>
      <w:pPr>
        <w:tabs>
          <w:tab w:val="num" w:pos="0"/>
        </w:tabs>
        <w:ind w:left="2640" w:hanging="1080"/>
      </w:pPr>
      <w:rPr>
        <w:rFonts w:eastAsia="Calibri"/>
        <w:b w:val="0"/>
      </w:rPr>
    </w:lvl>
    <w:lvl w:ilvl="6">
      <w:start w:val="1"/>
      <w:numFmt w:val="decimal"/>
      <w:lvlText w:val="%1.%2.%3.%4.%5.%6.%7."/>
      <w:lvlJc w:val="left"/>
      <w:pPr>
        <w:tabs>
          <w:tab w:val="num" w:pos="0"/>
        </w:tabs>
        <w:ind w:left="3240" w:hanging="1440"/>
      </w:pPr>
      <w:rPr>
        <w:rFonts w:eastAsia="Calibri"/>
        <w:b w:val="0"/>
      </w:rPr>
    </w:lvl>
    <w:lvl w:ilvl="7">
      <w:start w:val="1"/>
      <w:numFmt w:val="decimal"/>
      <w:lvlText w:val="%1.%2.%3.%4.%5.%6.%7.%8."/>
      <w:lvlJc w:val="left"/>
      <w:pPr>
        <w:tabs>
          <w:tab w:val="num" w:pos="0"/>
        </w:tabs>
        <w:ind w:left="3480" w:hanging="1440"/>
      </w:pPr>
      <w:rPr>
        <w:rFonts w:eastAsia="Calibri"/>
        <w:b w:val="0"/>
      </w:rPr>
    </w:lvl>
    <w:lvl w:ilvl="8">
      <w:start w:val="1"/>
      <w:numFmt w:val="decimal"/>
      <w:lvlText w:val="%1.%2.%3.%4.%5.%6.%7.%8.%9."/>
      <w:lvlJc w:val="left"/>
      <w:pPr>
        <w:tabs>
          <w:tab w:val="num" w:pos="0"/>
        </w:tabs>
        <w:ind w:left="4080" w:hanging="1800"/>
      </w:pPr>
      <w:rPr>
        <w:rFonts w:eastAsia="Calibri"/>
        <w:b w:val="0"/>
      </w:rPr>
    </w:lvl>
  </w:abstractNum>
  <w:abstractNum w:abstractNumId="7" w15:restartNumberingAfterBreak="0">
    <w:nsid w:val="10BA6E57"/>
    <w:multiLevelType w:val="multilevel"/>
    <w:tmpl w:val="AB684754"/>
    <w:lvl w:ilvl="0">
      <w:start w:val="1"/>
      <w:numFmt w:val="decimal"/>
      <w:suff w:val="space"/>
      <w:lvlText w:val="4.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F52334A"/>
    <w:multiLevelType w:val="multilevel"/>
    <w:tmpl w:val="CCA2D69C"/>
    <w:lvl w:ilvl="0">
      <w:start w:val="1"/>
      <w:numFmt w:val="upperRoman"/>
      <w:lvlText w:val="%1."/>
      <w:lvlJc w:val="left"/>
      <w:pPr>
        <w:tabs>
          <w:tab w:val="num" w:pos="0"/>
        </w:tabs>
        <w:ind w:left="1080" w:hanging="720"/>
      </w:pPr>
    </w:lvl>
    <w:lvl w:ilvl="1">
      <w:start w:val="2"/>
      <w:numFmt w:val="decimal"/>
      <w:lvlText w:val="%1.%2."/>
      <w:lvlJc w:val="left"/>
      <w:pPr>
        <w:tabs>
          <w:tab w:val="num" w:pos="0"/>
        </w:tabs>
        <w:ind w:left="928" w:hanging="360"/>
      </w:pPr>
      <w:rPr>
        <w:b/>
      </w:rPr>
    </w:lvl>
    <w:lvl w:ilvl="2">
      <w:start w:val="1"/>
      <w:numFmt w:val="decimal"/>
      <w:lvlText w:val="%1.%2.%3."/>
      <w:lvlJc w:val="left"/>
      <w:pPr>
        <w:tabs>
          <w:tab w:val="num" w:pos="0"/>
        </w:tabs>
        <w:ind w:left="1496" w:hanging="720"/>
      </w:pPr>
    </w:lvl>
    <w:lvl w:ilvl="3">
      <w:start w:val="1"/>
      <w:numFmt w:val="decimal"/>
      <w:lvlText w:val="%1.%2.%3.%4."/>
      <w:lvlJc w:val="left"/>
      <w:pPr>
        <w:tabs>
          <w:tab w:val="num" w:pos="0"/>
        </w:tabs>
        <w:ind w:left="1704" w:hanging="720"/>
      </w:pPr>
    </w:lvl>
    <w:lvl w:ilvl="4">
      <w:start w:val="1"/>
      <w:numFmt w:val="decimal"/>
      <w:lvlText w:val="%1.%2.%3.%4.%5."/>
      <w:lvlJc w:val="left"/>
      <w:pPr>
        <w:tabs>
          <w:tab w:val="num" w:pos="0"/>
        </w:tabs>
        <w:ind w:left="2272" w:hanging="1080"/>
      </w:pPr>
    </w:lvl>
    <w:lvl w:ilvl="5">
      <w:start w:val="1"/>
      <w:numFmt w:val="decimal"/>
      <w:lvlText w:val="%1.%2.%3.%4.%5.%6."/>
      <w:lvlJc w:val="left"/>
      <w:pPr>
        <w:tabs>
          <w:tab w:val="num" w:pos="0"/>
        </w:tabs>
        <w:ind w:left="2480" w:hanging="1080"/>
      </w:pPr>
    </w:lvl>
    <w:lvl w:ilvl="6">
      <w:start w:val="1"/>
      <w:numFmt w:val="decimal"/>
      <w:lvlText w:val="%1.%2.%3.%4.%5.%6.%7."/>
      <w:lvlJc w:val="left"/>
      <w:pPr>
        <w:tabs>
          <w:tab w:val="num" w:pos="0"/>
        </w:tabs>
        <w:ind w:left="3048" w:hanging="1440"/>
      </w:pPr>
    </w:lvl>
    <w:lvl w:ilvl="7">
      <w:start w:val="1"/>
      <w:numFmt w:val="decimal"/>
      <w:lvlText w:val="%1.%2.%3.%4.%5.%6.%7.%8."/>
      <w:lvlJc w:val="left"/>
      <w:pPr>
        <w:tabs>
          <w:tab w:val="num" w:pos="0"/>
        </w:tabs>
        <w:ind w:left="3256" w:hanging="1440"/>
      </w:pPr>
    </w:lvl>
    <w:lvl w:ilvl="8">
      <w:start w:val="1"/>
      <w:numFmt w:val="decimal"/>
      <w:lvlText w:val="%1.%2.%3.%4.%5.%6.%7.%8.%9."/>
      <w:lvlJc w:val="left"/>
      <w:pPr>
        <w:tabs>
          <w:tab w:val="num" w:pos="0"/>
        </w:tabs>
        <w:ind w:left="3824" w:hanging="1800"/>
      </w:pPr>
    </w:lvl>
  </w:abstractNum>
  <w:abstractNum w:abstractNumId="9" w15:restartNumberingAfterBreak="0">
    <w:nsid w:val="214F1489"/>
    <w:multiLevelType w:val="multilevel"/>
    <w:tmpl w:val="EC40F290"/>
    <w:lvl w:ilvl="0">
      <w:start w:val="1"/>
      <w:numFmt w:val="decimal"/>
      <w:lvlText w:val="4.4.%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C2E236F"/>
    <w:multiLevelType w:val="multilevel"/>
    <w:tmpl w:val="36C0CBB0"/>
    <w:lvl w:ilvl="0">
      <w:start w:val="1"/>
      <w:numFmt w:val="decimal"/>
      <w:lvlText w:val="%1."/>
      <w:lvlJc w:val="left"/>
      <w:pPr>
        <w:ind w:left="540" w:hanging="540"/>
      </w:pPr>
      <w:rPr>
        <w:rFonts w:hint="default"/>
      </w:rPr>
    </w:lvl>
    <w:lvl w:ilvl="1">
      <w:start w:val="2"/>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E5E047D"/>
    <w:multiLevelType w:val="multilevel"/>
    <w:tmpl w:val="C32E4C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5EE350F"/>
    <w:multiLevelType w:val="multilevel"/>
    <w:tmpl w:val="65805750"/>
    <w:lvl w:ilvl="0">
      <w:start w:val="1"/>
      <w:numFmt w:val="decimal"/>
      <w:suff w:val="space"/>
      <w:lvlText w:val="4.5.8.%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6104D5F"/>
    <w:multiLevelType w:val="multilevel"/>
    <w:tmpl w:val="D14E42F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EBA298F"/>
    <w:multiLevelType w:val="multilevel"/>
    <w:tmpl w:val="3E607C7C"/>
    <w:lvl w:ilvl="0">
      <w:start w:val="1"/>
      <w:numFmt w:val="decimal"/>
      <w:suff w:val="space"/>
      <w:lvlText w:val="4.5.4.%1."/>
      <w:lvlJc w:val="left"/>
      <w:pPr>
        <w:tabs>
          <w:tab w:val="num" w:pos="0"/>
        </w:tabs>
        <w:ind w:left="720" w:hanging="360"/>
      </w:pPr>
      <w:rPr>
        <w:rFonts w:cs="Times New Roman"/>
        <w:b w:val="0"/>
      </w:rPr>
    </w:lvl>
    <w:lvl w:ilvl="1">
      <w:start w:val="1"/>
      <w:numFmt w:val="lowerLetter"/>
      <w:lvlText w:val="%2."/>
      <w:lvlJc w:val="left"/>
      <w:pPr>
        <w:tabs>
          <w:tab w:val="num" w:pos="0"/>
        </w:tabs>
        <w:ind w:left="2120" w:hanging="360"/>
      </w:pPr>
    </w:lvl>
    <w:lvl w:ilvl="2">
      <w:start w:val="1"/>
      <w:numFmt w:val="lowerRoman"/>
      <w:lvlText w:val="%3."/>
      <w:lvlJc w:val="right"/>
      <w:pPr>
        <w:tabs>
          <w:tab w:val="num" w:pos="0"/>
        </w:tabs>
        <w:ind w:left="2840" w:hanging="180"/>
      </w:pPr>
    </w:lvl>
    <w:lvl w:ilvl="3">
      <w:start w:val="1"/>
      <w:numFmt w:val="decimal"/>
      <w:lvlText w:val="%4."/>
      <w:lvlJc w:val="left"/>
      <w:pPr>
        <w:tabs>
          <w:tab w:val="num" w:pos="0"/>
        </w:tabs>
        <w:ind w:left="3560" w:hanging="360"/>
      </w:pPr>
    </w:lvl>
    <w:lvl w:ilvl="4">
      <w:start w:val="1"/>
      <w:numFmt w:val="lowerLetter"/>
      <w:lvlText w:val="%5."/>
      <w:lvlJc w:val="left"/>
      <w:pPr>
        <w:tabs>
          <w:tab w:val="num" w:pos="0"/>
        </w:tabs>
        <w:ind w:left="4280" w:hanging="360"/>
      </w:pPr>
    </w:lvl>
    <w:lvl w:ilvl="5">
      <w:start w:val="1"/>
      <w:numFmt w:val="lowerRoman"/>
      <w:lvlText w:val="%6."/>
      <w:lvlJc w:val="right"/>
      <w:pPr>
        <w:tabs>
          <w:tab w:val="num" w:pos="0"/>
        </w:tabs>
        <w:ind w:left="5000" w:hanging="180"/>
      </w:pPr>
    </w:lvl>
    <w:lvl w:ilvl="6">
      <w:start w:val="1"/>
      <w:numFmt w:val="decimal"/>
      <w:lvlText w:val="%7."/>
      <w:lvlJc w:val="left"/>
      <w:pPr>
        <w:tabs>
          <w:tab w:val="num" w:pos="0"/>
        </w:tabs>
        <w:ind w:left="5720" w:hanging="360"/>
      </w:pPr>
    </w:lvl>
    <w:lvl w:ilvl="7">
      <w:start w:val="1"/>
      <w:numFmt w:val="lowerLetter"/>
      <w:lvlText w:val="%8."/>
      <w:lvlJc w:val="left"/>
      <w:pPr>
        <w:tabs>
          <w:tab w:val="num" w:pos="0"/>
        </w:tabs>
        <w:ind w:left="6440" w:hanging="360"/>
      </w:pPr>
    </w:lvl>
    <w:lvl w:ilvl="8">
      <w:start w:val="1"/>
      <w:numFmt w:val="lowerRoman"/>
      <w:lvlText w:val="%9."/>
      <w:lvlJc w:val="right"/>
      <w:pPr>
        <w:tabs>
          <w:tab w:val="num" w:pos="0"/>
        </w:tabs>
        <w:ind w:left="7160" w:hanging="180"/>
      </w:pPr>
    </w:lvl>
  </w:abstractNum>
  <w:abstractNum w:abstractNumId="15" w15:restartNumberingAfterBreak="0">
    <w:nsid w:val="468C345E"/>
    <w:multiLevelType w:val="multilevel"/>
    <w:tmpl w:val="54D27A3E"/>
    <w:lvl w:ilvl="0">
      <w:start w:val="1"/>
      <w:numFmt w:val="decimal"/>
      <w:lvlText w:val="4.6.%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FC31F87"/>
    <w:multiLevelType w:val="multilevel"/>
    <w:tmpl w:val="517EC2B6"/>
    <w:lvl w:ilvl="0">
      <w:start w:val="1"/>
      <w:numFmt w:val="decimal"/>
      <w:suff w:val="space"/>
      <w:lvlText w:val="4.5.6.%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1417574"/>
    <w:multiLevelType w:val="multilevel"/>
    <w:tmpl w:val="52E8E80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5333EB4"/>
    <w:multiLevelType w:val="multilevel"/>
    <w:tmpl w:val="5DECA4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98A5DDE"/>
    <w:multiLevelType w:val="multilevel"/>
    <w:tmpl w:val="A664F746"/>
    <w:lvl w:ilvl="0">
      <w:start w:val="1"/>
      <w:numFmt w:val="decimal"/>
      <w:suff w:val="space"/>
      <w:lvlText w:val="4.1.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B7E3C51"/>
    <w:multiLevelType w:val="multilevel"/>
    <w:tmpl w:val="808E6BE0"/>
    <w:lvl w:ilvl="0">
      <w:start w:val="1"/>
      <w:numFmt w:val="decimal"/>
      <w:lvlText w:val="4.%1."/>
      <w:lvlJc w:val="left"/>
      <w:pPr>
        <w:tabs>
          <w:tab w:val="num" w:pos="0"/>
        </w:tabs>
        <w:ind w:left="720" w:hanging="360"/>
      </w:pPr>
      <w:rPr>
        <w:rFonts w:cs="Times New Roman"/>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56765D6"/>
    <w:multiLevelType w:val="multilevel"/>
    <w:tmpl w:val="19FADC54"/>
    <w:lvl w:ilvl="0">
      <w:start w:val="2"/>
      <w:numFmt w:val="decimal"/>
      <w:lvlText w:val="%1."/>
      <w:lvlJc w:val="left"/>
      <w:pPr>
        <w:tabs>
          <w:tab w:val="num" w:pos="0"/>
        </w:tabs>
        <w:ind w:left="360" w:hanging="360"/>
      </w:pPr>
    </w:lvl>
    <w:lvl w:ilvl="1">
      <w:start w:val="1"/>
      <w:numFmt w:val="decimal"/>
      <w:lvlText w:val="%1.%2."/>
      <w:lvlJc w:val="left"/>
      <w:pPr>
        <w:tabs>
          <w:tab w:val="num" w:pos="0"/>
        </w:tabs>
        <w:ind w:left="-1934" w:hanging="360"/>
      </w:pPr>
    </w:lvl>
    <w:lvl w:ilvl="2">
      <w:start w:val="1"/>
      <w:numFmt w:val="decimal"/>
      <w:lvlText w:val="%1.%2.%3."/>
      <w:lvlJc w:val="left"/>
      <w:pPr>
        <w:tabs>
          <w:tab w:val="num" w:pos="0"/>
        </w:tabs>
        <w:ind w:left="-3868" w:hanging="720"/>
      </w:pPr>
    </w:lvl>
    <w:lvl w:ilvl="3">
      <w:start w:val="1"/>
      <w:numFmt w:val="decimal"/>
      <w:lvlText w:val="%1.%2.%3.%4."/>
      <w:lvlJc w:val="left"/>
      <w:pPr>
        <w:tabs>
          <w:tab w:val="num" w:pos="0"/>
        </w:tabs>
        <w:ind w:left="-6162" w:hanging="720"/>
      </w:pPr>
    </w:lvl>
    <w:lvl w:ilvl="4">
      <w:start w:val="1"/>
      <w:numFmt w:val="decimal"/>
      <w:lvlText w:val="%1.%2.%3.%4.%5."/>
      <w:lvlJc w:val="left"/>
      <w:pPr>
        <w:tabs>
          <w:tab w:val="num" w:pos="0"/>
        </w:tabs>
        <w:ind w:left="-8096" w:hanging="1080"/>
      </w:pPr>
    </w:lvl>
    <w:lvl w:ilvl="5">
      <w:start w:val="1"/>
      <w:numFmt w:val="decimal"/>
      <w:lvlText w:val="%1.%2.%3.%4.%5.%6."/>
      <w:lvlJc w:val="left"/>
      <w:pPr>
        <w:tabs>
          <w:tab w:val="num" w:pos="0"/>
        </w:tabs>
        <w:ind w:left="-10390" w:hanging="1080"/>
      </w:pPr>
    </w:lvl>
    <w:lvl w:ilvl="6">
      <w:start w:val="1"/>
      <w:numFmt w:val="decimal"/>
      <w:lvlText w:val="%1.%2.%3.%4.%5.%6.%7."/>
      <w:lvlJc w:val="left"/>
      <w:pPr>
        <w:tabs>
          <w:tab w:val="num" w:pos="0"/>
        </w:tabs>
        <w:ind w:left="-12324" w:hanging="1440"/>
      </w:pPr>
    </w:lvl>
    <w:lvl w:ilvl="7">
      <w:start w:val="1"/>
      <w:numFmt w:val="decimal"/>
      <w:lvlText w:val="%1.%2.%3.%4.%5.%6.%7.%8."/>
      <w:lvlJc w:val="left"/>
      <w:pPr>
        <w:tabs>
          <w:tab w:val="num" w:pos="0"/>
        </w:tabs>
        <w:ind w:left="-14618" w:hanging="1440"/>
      </w:pPr>
    </w:lvl>
    <w:lvl w:ilvl="8">
      <w:start w:val="1"/>
      <w:numFmt w:val="decimal"/>
      <w:lvlText w:val="%1.%2.%3.%4.%5.%6.%7.%8.%9."/>
      <w:lvlJc w:val="left"/>
      <w:pPr>
        <w:tabs>
          <w:tab w:val="num" w:pos="0"/>
        </w:tabs>
        <w:ind w:left="-16552" w:hanging="1800"/>
      </w:pPr>
    </w:lvl>
  </w:abstractNum>
  <w:abstractNum w:abstractNumId="22" w15:restartNumberingAfterBreak="0">
    <w:nsid w:val="65BA58F3"/>
    <w:multiLevelType w:val="multilevel"/>
    <w:tmpl w:val="312E2FAA"/>
    <w:lvl w:ilvl="0">
      <w:start w:val="1"/>
      <w:numFmt w:val="decimal"/>
      <w:lvlText w:val="4.2.%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662440C0"/>
    <w:multiLevelType w:val="multilevel"/>
    <w:tmpl w:val="8B4A37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7380DEC"/>
    <w:multiLevelType w:val="multilevel"/>
    <w:tmpl w:val="243430E4"/>
    <w:lvl w:ilvl="0">
      <w:start w:val="1"/>
      <w:numFmt w:val="decimal"/>
      <w:lvlText w:val="%1."/>
      <w:lvlJc w:val="left"/>
      <w:pPr>
        <w:tabs>
          <w:tab w:val="num" w:pos="0"/>
        </w:tabs>
        <w:ind w:left="420" w:hanging="420"/>
      </w:pPr>
      <w:rPr>
        <w:rFonts w:ascii="Times New Roman" w:eastAsia="Times New Roman" w:hAnsi="Times New Roman" w:cs="Times New Roman"/>
      </w:rPr>
    </w:lvl>
    <w:lvl w:ilvl="1">
      <w:start w:val="1"/>
      <w:numFmt w:val="decimal"/>
      <w:lvlText w:val="%2."/>
      <w:lvlJc w:val="left"/>
      <w:pPr>
        <w:tabs>
          <w:tab w:val="num" w:pos="0"/>
        </w:tabs>
        <w:ind w:left="1129" w:hanging="420"/>
      </w:pPr>
      <w:rPr>
        <w:rFonts w:ascii="Times New Roman" w:eastAsia="Times New Roman" w:hAnsi="Times New Roman" w:cs="Times New Roman"/>
      </w:rPr>
    </w:lvl>
    <w:lvl w:ilvl="2">
      <w:start w:val="1"/>
      <w:numFmt w:val="decimal"/>
      <w:lvlText w:val="%1.%2.%3."/>
      <w:lvlJc w:val="left"/>
      <w:pPr>
        <w:tabs>
          <w:tab w:val="num" w:pos="-284"/>
        </w:tabs>
        <w:ind w:left="1854"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25" w15:restartNumberingAfterBreak="0">
    <w:nsid w:val="674E5FF4"/>
    <w:multiLevelType w:val="multilevel"/>
    <w:tmpl w:val="D90E68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91342E6"/>
    <w:multiLevelType w:val="multilevel"/>
    <w:tmpl w:val="4E6E4F40"/>
    <w:lvl w:ilvl="0">
      <w:start w:val="1"/>
      <w:numFmt w:val="decimal"/>
      <w:suff w:val="space"/>
      <w:lvlText w:val="4.5.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7053727C"/>
    <w:multiLevelType w:val="multilevel"/>
    <w:tmpl w:val="9DE8429A"/>
    <w:lvl w:ilvl="0">
      <w:start w:val="1"/>
      <w:numFmt w:val="decimal"/>
      <w:suff w:val="space"/>
      <w:lvlText w:val="4.6.7.%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74C16007"/>
    <w:multiLevelType w:val="multilevel"/>
    <w:tmpl w:val="75F83056"/>
    <w:lvl w:ilvl="0">
      <w:start w:val="7"/>
      <w:numFmt w:val="decimal"/>
      <w:lvlText w:val="4.6.%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3"/>
  </w:num>
  <w:num w:numId="2">
    <w:abstractNumId w:val="8"/>
  </w:num>
  <w:num w:numId="3">
    <w:abstractNumId w:val="21"/>
  </w:num>
  <w:num w:numId="4">
    <w:abstractNumId w:val="25"/>
  </w:num>
  <w:num w:numId="5">
    <w:abstractNumId w:val="23"/>
  </w:num>
  <w:num w:numId="6">
    <w:abstractNumId w:val="11"/>
  </w:num>
  <w:num w:numId="7">
    <w:abstractNumId w:val="18"/>
  </w:num>
  <w:num w:numId="8">
    <w:abstractNumId w:val="17"/>
  </w:num>
  <w:num w:numId="9">
    <w:abstractNumId w:val="2"/>
  </w:num>
  <w:num w:numId="10">
    <w:abstractNumId w:val="6"/>
  </w:num>
  <w:num w:numId="11">
    <w:abstractNumId w:val="20"/>
  </w:num>
  <w:num w:numId="12">
    <w:abstractNumId w:val="3"/>
  </w:num>
  <w:num w:numId="13">
    <w:abstractNumId w:val="19"/>
  </w:num>
  <w:num w:numId="14">
    <w:abstractNumId w:val="22"/>
  </w:num>
  <w:num w:numId="15">
    <w:abstractNumId w:val="0"/>
  </w:num>
  <w:num w:numId="16">
    <w:abstractNumId w:val="9"/>
  </w:num>
  <w:num w:numId="17">
    <w:abstractNumId w:val="7"/>
  </w:num>
  <w:num w:numId="18">
    <w:abstractNumId w:val="26"/>
  </w:num>
  <w:num w:numId="19">
    <w:abstractNumId w:val="16"/>
  </w:num>
  <w:num w:numId="20">
    <w:abstractNumId w:val="12"/>
  </w:num>
  <w:num w:numId="21">
    <w:abstractNumId w:val="4"/>
  </w:num>
  <w:num w:numId="22">
    <w:abstractNumId w:val="15"/>
  </w:num>
  <w:num w:numId="23">
    <w:abstractNumId w:val="1"/>
  </w:num>
  <w:num w:numId="24">
    <w:abstractNumId w:val="28"/>
  </w:num>
  <w:num w:numId="25">
    <w:abstractNumId w:val="27"/>
  </w:num>
  <w:num w:numId="26">
    <w:abstractNumId w:val="14"/>
  </w:num>
  <w:num w:numId="27">
    <w:abstractNumId w:val="24"/>
  </w:num>
  <w:num w:numId="28">
    <w:abstractNumId w:val="10"/>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4AB"/>
    <w:rsid w:val="0031616D"/>
    <w:rsid w:val="004F1E92"/>
    <w:rsid w:val="008508DB"/>
    <w:rsid w:val="00BD5BB1"/>
    <w:rsid w:val="00EB54AB"/>
    <w:rsid w:val="00EE3A6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C27067-79B1-4B98-BB87-9B081AAAC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B54AB"/>
    <w:pPr>
      <w:suppressAutoHyphens/>
      <w:spacing w:after="0" w:line="240" w:lineRule="auto"/>
      <w:textAlignment w:val="baseline"/>
    </w:pPr>
    <w:rPr>
      <w:rFonts w:ascii="Times New Roman" w:eastAsia="Times New Roman" w:hAnsi="Times New Roman" w:cs="Times New Roman"/>
      <w:kern w:val="2"/>
      <w:sz w:val="24"/>
      <w:szCs w:val="24"/>
      <w:lang w:eastAsia="ru-RU" w:bidi="hi-IN"/>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EB54AB"/>
    <w:pPr>
      <w:keepNext/>
      <w:suppressAutoHyphens w:val="0"/>
      <w:jc w:val="both"/>
      <w:textAlignment w:val="auto"/>
      <w:outlineLvl w:val="0"/>
    </w:pPr>
    <w:rPr>
      <w:b/>
      <w:bCs/>
      <w:kern w:val="0"/>
      <w:lang w:eastAsia="en-US"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ndard">
    <w:name w:val="Standard"/>
    <w:qFormat/>
    <w:rsid w:val="00EB54AB"/>
    <w:pPr>
      <w:suppressAutoHyphens/>
      <w:spacing w:after="0" w:line="240" w:lineRule="auto"/>
      <w:textAlignment w:val="baseline"/>
    </w:pPr>
    <w:rPr>
      <w:rFonts w:ascii="Liberation Serif" w:eastAsia="SimSun, 宋体" w:hAnsi="Liberation Serif" w:cs="Arial"/>
      <w:kern w:val="2"/>
      <w:sz w:val="24"/>
      <w:szCs w:val="24"/>
      <w:lang w:eastAsia="zh-CN" w:bidi="hi-IN"/>
    </w:rPr>
  </w:style>
  <w:style w:type="paragraph" w:styleId="Sraopastraipa">
    <w:name w:val="List Paragraph"/>
    <w:aliases w:val="Table of contents numbered,Bullet EY,ERP-List Paragraph,List Paragraph11,Numbering,Sąrašo pastraipa1,Sąrašo pastraipa.Bullet,List Paragraph1,Sąrašo pastraipa.Bullet1,Sąrašo pastraipa.Bullet11,lp1,Bullet 1,Use Case List Paragraph,Body 1"/>
    <w:basedOn w:val="prastasis"/>
    <w:link w:val="SraopastraipaDiagrama"/>
    <w:qFormat/>
    <w:rsid w:val="00EB54AB"/>
    <w:pPr>
      <w:ind w:left="720"/>
      <w:contextualSpacing/>
    </w:pPr>
    <w:rPr>
      <w:rFonts w:cs="Mangal"/>
      <w:szCs w:val="21"/>
    </w:rPr>
  </w:style>
  <w:style w:type="character" w:styleId="Emfaz">
    <w:name w:val="Emphasis"/>
    <w:aliases w:val="Figure Caption"/>
    <w:uiPriority w:val="20"/>
    <w:rsid w:val="00EB54AB"/>
    <w:rPr>
      <w:i/>
    </w:rPr>
  </w:style>
  <w:style w:type="paragraph" w:customStyle="1" w:styleId="FiguresTitle">
    <w:name w:val="Figures Title"/>
    <w:basedOn w:val="Antrat"/>
    <w:next w:val="prastasis"/>
    <w:link w:val="FiguresTitleChar"/>
    <w:qFormat/>
    <w:rsid w:val="00EB54AB"/>
    <w:pPr>
      <w:suppressAutoHyphens w:val="0"/>
      <w:jc w:val="center"/>
      <w:textAlignment w:val="auto"/>
    </w:pPr>
    <w:rPr>
      <w:rFonts w:cs="Times New Roman"/>
      <w:noProof/>
      <w:color w:val="171717" w:themeColor="background2" w:themeShade="1A"/>
      <w:kern w:val="0"/>
      <w:sz w:val="24"/>
      <w:szCs w:val="24"/>
      <w:lang w:eastAsia="en-US" w:bidi="ar-SA"/>
    </w:rPr>
  </w:style>
  <w:style w:type="character" w:customStyle="1" w:styleId="FiguresTitleChar">
    <w:name w:val="Figures Title Char"/>
    <w:basedOn w:val="Numatytasispastraiposriftas"/>
    <w:link w:val="FiguresTitle"/>
    <w:rsid w:val="00EB54AB"/>
    <w:rPr>
      <w:rFonts w:ascii="Times New Roman" w:eastAsia="Times New Roman" w:hAnsi="Times New Roman" w:cs="Times New Roman"/>
      <w:i/>
      <w:iCs/>
      <w:noProof/>
      <w:color w:val="171717" w:themeColor="background2" w:themeShade="1A"/>
      <w:sz w:val="24"/>
      <w:szCs w:val="24"/>
    </w:rPr>
  </w:style>
  <w:style w:type="character" w:customStyle="1" w:styleId="SraopastraipaDiagrama">
    <w:name w:val="Sąrašo pastraipa Diagrama"/>
    <w:aliases w:val="Table of contents numbered Diagrama,Bullet EY Diagrama,ERP-List Paragraph Diagrama,List Paragraph11 Diagrama,Numbering Diagrama,Sąrašo pastraipa1 Diagrama,Sąrašo pastraipa.Bullet Diagrama,List Paragraph1 Diagrama,lp1 Diagrama"/>
    <w:basedOn w:val="Numatytasispastraiposriftas"/>
    <w:link w:val="Sraopastraipa"/>
    <w:qFormat/>
    <w:locked/>
    <w:rsid w:val="00EB54AB"/>
    <w:rPr>
      <w:rFonts w:ascii="Times New Roman" w:eastAsia="Times New Roman" w:hAnsi="Times New Roman" w:cs="Mangal"/>
      <w:kern w:val="2"/>
      <w:sz w:val="24"/>
      <w:szCs w:val="21"/>
      <w:lang w:eastAsia="ru-RU" w:bidi="hi-IN"/>
    </w:rPr>
  </w:style>
  <w:style w:type="paragraph" w:styleId="Antrat">
    <w:name w:val="caption"/>
    <w:basedOn w:val="prastasis"/>
    <w:next w:val="prastasis"/>
    <w:uiPriority w:val="35"/>
    <w:semiHidden/>
    <w:unhideWhenUsed/>
    <w:qFormat/>
    <w:rsid w:val="00EB54AB"/>
    <w:pPr>
      <w:spacing w:after="200"/>
    </w:pPr>
    <w:rPr>
      <w:rFonts w:cs="Mangal"/>
      <w:i/>
      <w:iCs/>
      <w:color w:val="44546A" w:themeColor="text2"/>
      <w:sz w:val="18"/>
      <w:szCs w:val="16"/>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EB54AB"/>
    <w:rPr>
      <w:rFonts w:ascii="Times New Roman" w:eastAsia="Times New Roman" w:hAnsi="Times New Roman" w:cs="Times New Roman"/>
      <w:b/>
      <w:bCs/>
      <w:sz w:val="24"/>
      <w:szCs w:val="24"/>
    </w:rPr>
  </w:style>
  <w:style w:type="paragraph" w:styleId="Antrats">
    <w:name w:val="header"/>
    <w:basedOn w:val="prastasis"/>
    <w:link w:val="AntratsDiagrama"/>
    <w:uiPriority w:val="99"/>
    <w:unhideWhenUsed/>
    <w:rsid w:val="00EB54AB"/>
    <w:pPr>
      <w:tabs>
        <w:tab w:val="center" w:pos="4819"/>
        <w:tab w:val="right" w:pos="9638"/>
      </w:tabs>
    </w:pPr>
    <w:rPr>
      <w:rFonts w:cs="Mangal"/>
      <w:szCs w:val="21"/>
    </w:rPr>
  </w:style>
  <w:style w:type="character" w:customStyle="1" w:styleId="AntratsDiagrama">
    <w:name w:val="Antraštės Diagrama"/>
    <w:basedOn w:val="Numatytasispastraiposriftas"/>
    <w:link w:val="Antrats"/>
    <w:uiPriority w:val="99"/>
    <w:rsid w:val="00EB54AB"/>
    <w:rPr>
      <w:rFonts w:ascii="Times New Roman" w:eastAsia="Times New Roman" w:hAnsi="Times New Roman" w:cs="Mangal"/>
      <w:kern w:val="2"/>
      <w:sz w:val="24"/>
      <w:szCs w:val="21"/>
      <w:lang w:eastAsia="ru-RU" w:bidi="hi-IN"/>
    </w:rPr>
  </w:style>
  <w:style w:type="paragraph" w:styleId="Porat">
    <w:name w:val="footer"/>
    <w:basedOn w:val="prastasis"/>
    <w:link w:val="PoratDiagrama"/>
    <w:uiPriority w:val="99"/>
    <w:unhideWhenUsed/>
    <w:rsid w:val="00EB54AB"/>
    <w:pPr>
      <w:tabs>
        <w:tab w:val="center" w:pos="4819"/>
        <w:tab w:val="right" w:pos="9638"/>
      </w:tabs>
    </w:pPr>
    <w:rPr>
      <w:rFonts w:cs="Mangal"/>
      <w:szCs w:val="21"/>
    </w:rPr>
  </w:style>
  <w:style w:type="character" w:customStyle="1" w:styleId="PoratDiagrama">
    <w:name w:val="Poraštė Diagrama"/>
    <w:basedOn w:val="Numatytasispastraiposriftas"/>
    <w:link w:val="Porat"/>
    <w:uiPriority w:val="99"/>
    <w:rsid w:val="00EB54AB"/>
    <w:rPr>
      <w:rFonts w:ascii="Times New Roman" w:eastAsia="Times New Roman" w:hAnsi="Times New Roman" w:cs="Mangal"/>
      <w:kern w:val="2"/>
      <w:sz w:val="24"/>
      <w:szCs w:val="21"/>
      <w:lang w:eastAsia="ru-RU"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tpagalba.vrm.lt/MS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ttpagalba@vrm.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24122</Words>
  <Characters>13750</Characters>
  <Application>Microsoft Office Word</Application>
  <DocSecurity>0</DocSecurity>
  <Lines>114</Lines>
  <Paragraphs>75</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37797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Asta Šimonėlienė</cp:lastModifiedBy>
  <cp:revision>4</cp:revision>
  <dcterms:created xsi:type="dcterms:W3CDTF">2021-12-27T11:24:00Z</dcterms:created>
  <dcterms:modified xsi:type="dcterms:W3CDTF">2021-12-27T11:29:00Z</dcterms:modified>
</cp:coreProperties>
</file>